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B4B78" w14:textId="77777777" w:rsidR="00BD7ADE" w:rsidRPr="0063590B" w:rsidRDefault="00BD7ADE" w:rsidP="00BD7ADE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noProof/>
          <w:sz w:val="20"/>
          <w:szCs w:val="20"/>
          <w:highlight w:val="yellow"/>
        </w:rPr>
        <w:t>&lt;Insert Hospital Logo&gt;</w:t>
      </w:r>
    </w:p>
    <w:p w14:paraId="0BBAFFC2" w14:textId="75385562" w:rsidR="00BD7ADE" w:rsidRPr="0063590B" w:rsidRDefault="00BD7ADE" w:rsidP="00BD7ADE">
      <w:pPr>
        <w:spacing w:after="240" w:line="240" w:lineRule="auto"/>
        <w:ind w:left="20" w:right="-50"/>
        <w:rPr>
          <w:rFonts w:ascii="Arial" w:eastAsia="Arial" w:hAnsi="Arial" w:cs="Arial"/>
          <w:sz w:val="20"/>
          <w:szCs w:val="20"/>
        </w:rPr>
      </w:pPr>
      <w:r w:rsidRPr="0063590B">
        <w:rPr>
          <w:rFonts w:ascii="Arial" w:eastAsia="Arial" w:hAnsi="Arial" w:cs="Arial"/>
          <w:sz w:val="20"/>
          <w:szCs w:val="20"/>
        </w:rPr>
        <w:t xml:space="preserve">The </w:t>
      </w:r>
      <w:r w:rsidRPr="0063590B">
        <w:rPr>
          <w:rFonts w:ascii="Arial" w:eastAsia="Arial" w:hAnsi="Arial" w:cs="Arial"/>
          <w:sz w:val="20"/>
          <w:szCs w:val="20"/>
          <w:highlight w:val="yellow"/>
        </w:rPr>
        <w:t>&lt;Hospital Name&gt;</w:t>
      </w:r>
      <w:r w:rsidRPr="0063590B">
        <w:rPr>
          <w:rFonts w:ascii="Arial" w:eastAsia="Arial" w:hAnsi="Arial" w:cs="Arial"/>
          <w:sz w:val="20"/>
          <w:szCs w:val="20"/>
        </w:rPr>
        <w:t xml:space="preserve"> Blood Bank</w:t>
      </w:r>
      <w:r w:rsidRPr="0063590B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3590B">
        <w:rPr>
          <w:rFonts w:ascii="Arial" w:eastAsia="Arial" w:hAnsi="Arial" w:cs="Arial"/>
          <w:sz w:val="20"/>
          <w:szCs w:val="20"/>
        </w:rPr>
        <w:t>w</w:t>
      </w:r>
      <w:r w:rsidRPr="0063590B">
        <w:rPr>
          <w:rFonts w:ascii="Arial" w:eastAsia="Arial" w:hAnsi="Arial" w:cs="Arial"/>
          <w:spacing w:val="-1"/>
          <w:sz w:val="20"/>
          <w:szCs w:val="20"/>
        </w:rPr>
        <w:t>i</w:t>
      </w:r>
      <w:r w:rsidRPr="0063590B">
        <w:rPr>
          <w:rFonts w:ascii="Arial" w:eastAsia="Arial" w:hAnsi="Arial" w:cs="Arial"/>
          <w:spacing w:val="1"/>
          <w:sz w:val="20"/>
          <w:szCs w:val="20"/>
        </w:rPr>
        <w:t>l</w:t>
      </w:r>
      <w:r w:rsidRPr="0063590B">
        <w:rPr>
          <w:rFonts w:ascii="Arial" w:eastAsia="Arial" w:hAnsi="Arial" w:cs="Arial"/>
          <w:sz w:val="20"/>
          <w:szCs w:val="20"/>
        </w:rPr>
        <w:t>l</w:t>
      </w:r>
      <w:r w:rsidRPr="0063590B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3590B">
        <w:rPr>
          <w:rFonts w:ascii="Arial" w:eastAsia="Arial" w:hAnsi="Arial" w:cs="Arial"/>
          <w:sz w:val="20"/>
          <w:szCs w:val="20"/>
        </w:rPr>
        <w:t>be</w:t>
      </w:r>
      <w:r w:rsidRPr="0063590B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63590B">
        <w:rPr>
          <w:rFonts w:ascii="Arial" w:eastAsia="Arial" w:hAnsi="Arial" w:cs="Arial"/>
          <w:spacing w:val="2"/>
          <w:sz w:val="20"/>
          <w:szCs w:val="20"/>
        </w:rPr>
        <w:t>n</w:t>
      </w:r>
      <w:r w:rsidRPr="0063590B">
        <w:rPr>
          <w:rFonts w:ascii="Arial" w:eastAsia="Arial" w:hAnsi="Arial" w:cs="Arial"/>
          <w:sz w:val="20"/>
          <w:szCs w:val="20"/>
        </w:rPr>
        <w:t>tro</w:t>
      </w:r>
      <w:r w:rsidRPr="0063590B">
        <w:rPr>
          <w:rFonts w:ascii="Arial" w:eastAsia="Arial" w:hAnsi="Arial" w:cs="Arial"/>
          <w:spacing w:val="-1"/>
          <w:sz w:val="20"/>
          <w:szCs w:val="20"/>
        </w:rPr>
        <w:t>d</w:t>
      </w:r>
      <w:r w:rsidRPr="0063590B">
        <w:rPr>
          <w:rFonts w:ascii="Arial" w:eastAsia="Arial" w:hAnsi="Arial" w:cs="Arial"/>
          <w:sz w:val="20"/>
          <w:szCs w:val="20"/>
        </w:rPr>
        <w:t>u</w:t>
      </w:r>
      <w:r w:rsidRPr="0063590B">
        <w:rPr>
          <w:rFonts w:ascii="Arial" w:eastAsia="Arial" w:hAnsi="Arial" w:cs="Arial"/>
          <w:spacing w:val="3"/>
          <w:sz w:val="20"/>
          <w:szCs w:val="20"/>
        </w:rPr>
        <w:t>c</w:t>
      </w:r>
      <w:r w:rsidRPr="0063590B">
        <w:rPr>
          <w:rFonts w:ascii="Arial" w:eastAsia="Arial" w:hAnsi="Arial" w:cs="Arial"/>
          <w:spacing w:val="-1"/>
          <w:sz w:val="20"/>
          <w:szCs w:val="20"/>
        </w:rPr>
        <w:t>i</w:t>
      </w:r>
      <w:r w:rsidRPr="0063590B">
        <w:rPr>
          <w:rFonts w:ascii="Arial" w:eastAsia="Arial" w:hAnsi="Arial" w:cs="Arial"/>
          <w:sz w:val="20"/>
          <w:szCs w:val="20"/>
        </w:rPr>
        <w:t>ng</w:t>
      </w:r>
      <w:r w:rsidRPr="0063590B">
        <w:rPr>
          <w:rFonts w:ascii="Arial" w:eastAsia="Arial" w:hAnsi="Arial" w:cs="Arial"/>
          <w:spacing w:val="-9"/>
          <w:sz w:val="20"/>
          <w:szCs w:val="20"/>
        </w:rPr>
        <w:t xml:space="preserve"> pathogen-reduced; psoralen-treated</w:t>
      </w:r>
      <w:r w:rsidRPr="0063590B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63590B">
        <w:rPr>
          <w:rFonts w:ascii="Arial" w:eastAsia="Arial" w:hAnsi="Arial" w:cs="Arial"/>
          <w:sz w:val="20"/>
          <w:szCs w:val="20"/>
        </w:rPr>
        <w:t>p</w:t>
      </w:r>
      <w:r w:rsidRPr="0063590B">
        <w:rPr>
          <w:rFonts w:ascii="Arial" w:eastAsia="Arial" w:hAnsi="Arial" w:cs="Arial"/>
          <w:spacing w:val="1"/>
          <w:sz w:val="20"/>
          <w:szCs w:val="20"/>
        </w:rPr>
        <w:t>l</w:t>
      </w:r>
      <w:r w:rsidRPr="0063590B">
        <w:rPr>
          <w:rFonts w:ascii="Arial" w:eastAsia="Arial" w:hAnsi="Arial" w:cs="Arial"/>
          <w:sz w:val="20"/>
          <w:szCs w:val="20"/>
        </w:rPr>
        <w:t>at</w:t>
      </w:r>
      <w:r w:rsidRPr="0063590B">
        <w:rPr>
          <w:rFonts w:ascii="Arial" w:eastAsia="Arial" w:hAnsi="Arial" w:cs="Arial"/>
          <w:spacing w:val="1"/>
          <w:sz w:val="20"/>
          <w:szCs w:val="20"/>
        </w:rPr>
        <w:t>e</w:t>
      </w:r>
      <w:r w:rsidRPr="0063590B">
        <w:rPr>
          <w:rFonts w:ascii="Arial" w:eastAsia="Arial" w:hAnsi="Arial" w:cs="Arial"/>
          <w:spacing w:val="-1"/>
          <w:sz w:val="20"/>
          <w:szCs w:val="20"/>
        </w:rPr>
        <w:t>l</w:t>
      </w:r>
      <w:r w:rsidRPr="0063590B">
        <w:rPr>
          <w:rFonts w:ascii="Arial" w:eastAsia="Arial" w:hAnsi="Arial" w:cs="Arial"/>
          <w:spacing w:val="2"/>
          <w:sz w:val="20"/>
          <w:szCs w:val="20"/>
        </w:rPr>
        <w:t>e</w:t>
      </w:r>
      <w:r w:rsidRPr="0063590B">
        <w:rPr>
          <w:rFonts w:ascii="Arial" w:eastAsia="Arial" w:hAnsi="Arial" w:cs="Arial"/>
          <w:sz w:val="20"/>
          <w:szCs w:val="20"/>
        </w:rPr>
        <w:t>ts</w:t>
      </w:r>
      <w:r w:rsidRPr="0063590B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3590B">
        <w:rPr>
          <w:rFonts w:ascii="Arial" w:eastAsia="Arial" w:hAnsi="Arial" w:cs="Arial"/>
          <w:spacing w:val="-1"/>
          <w:sz w:val="20"/>
          <w:szCs w:val="20"/>
        </w:rPr>
        <w:t>in &lt;</w:t>
      </w:r>
      <w:r w:rsidRPr="0063590B">
        <w:rPr>
          <w:rFonts w:ascii="Arial" w:eastAsia="Arial" w:hAnsi="Arial" w:cs="Arial"/>
          <w:spacing w:val="-1"/>
          <w:sz w:val="20"/>
          <w:szCs w:val="20"/>
          <w:highlight w:val="yellow"/>
        </w:rPr>
        <w:t>enter month, date</w:t>
      </w:r>
      <w:r w:rsidRPr="0063590B">
        <w:rPr>
          <w:rFonts w:ascii="Arial" w:eastAsia="Arial" w:hAnsi="Arial" w:cs="Arial"/>
          <w:spacing w:val="-1"/>
          <w:sz w:val="20"/>
          <w:szCs w:val="20"/>
        </w:rPr>
        <w:t xml:space="preserve">&gt;. The following points supported the </w:t>
      </w:r>
      <w:r w:rsidRPr="0063590B">
        <w:rPr>
          <w:rFonts w:ascii="Arial" w:eastAsia="Arial" w:hAnsi="Arial" w:cs="Arial"/>
          <w:spacing w:val="-1"/>
          <w:sz w:val="20"/>
          <w:szCs w:val="20"/>
          <w:highlight w:val="yellow"/>
        </w:rPr>
        <w:t>&lt;Hospital Name&gt;</w:t>
      </w:r>
      <w:r w:rsidRPr="0063590B">
        <w:rPr>
          <w:rFonts w:ascii="Arial" w:eastAsia="Arial" w:hAnsi="Arial" w:cs="Arial"/>
          <w:spacing w:val="-1"/>
          <w:sz w:val="20"/>
          <w:szCs w:val="20"/>
        </w:rPr>
        <w:t xml:space="preserve"> Transfusion Service to adopt these new platelet products. The &lt;</w:t>
      </w:r>
      <w:r w:rsidRPr="0063590B">
        <w:rPr>
          <w:rFonts w:ascii="Arial" w:eastAsia="Arial" w:hAnsi="Arial" w:cs="Arial"/>
          <w:spacing w:val="-1"/>
          <w:sz w:val="20"/>
          <w:szCs w:val="20"/>
          <w:highlight w:val="yellow"/>
        </w:rPr>
        <w:t>Transfusion or other Committee</w:t>
      </w:r>
      <w:r w:rsidRPr="0063590B">
        <w:rPr>
          <w:rFonts w:ascii="Arial" w:eastAsia="Arial" w:hAnsi="Arial" w:cs="Arial"/>
          <w:spacing w:val="-1"/>
          <w:sz w:val="20"/>
          <w:szCs w:val="20"/>
        </w:rPr>
        <w:t xml:space="preserve">&gt; has reviewed the contraindications and warnings </w:t>
      </w:r>
      <w:r w:rsidR="006907E2" w:rsidRPr="0063590B">
        <w:rPr>
          <w:rFonts w:ascii="Arial" w:eastAsia="Arial" w:hAnsi="Arial" w:cs="Arial"/>
          <w:spacing w:val="-1"/>
          <w:sz w:val="20"/>
          <w:szCs w:val="20"/>
        </w:rPr>
        <w:t>and has determined that these new platelets may be issued for patients receiving platelet</w:t>
      </w:r>
      <w:r w:rsidR="008C3851">
        <w:rPr>
          <w:rFonts w:ascii="Arial" w:eastAsia="Arial" w:hAnsi="Arial" w:cs="Arial"/>
          <w:spacing w:val="-1"/>
          <w:sz w:val="20"/>
          <w:szCs w:val="20"/>
        </w:rPr>
        <w:t xml:space="preserve"> therapy</w:t>
      </w:r>
      <w:r w:rsidRPr="0063590B">
        <w:rPr>
          <w:rFonts w:ascii="Arial" w:eastAsia="Arial" w:hAnsi="Arial" w:cs="Arial"/>
          <w:spacing w:val="-1"/>
          <w:sz w:val="20"/>
          <w:szCs w:val="20"/>
        </w:rPr>
        <w:t xml:space="preserve">. </w:t>
      </w:r>
    </w:p>
    <w:p w14:paraId="1FF25BB1" w14:textId="77777777" w:rsidR="00BD7ADE" w:rsidRPr="0063590B" w:rsidRDefault="00BD7ADE" w:rsidP="00BD7ADE">
      <w:pPr>
        <w:spacing w:after="240" w:line="240" w:lineRule="auto"/>
        <w:ind w:left="20" w:right="-50"/>
        <w:rPr>
          <w:rFonts w:ascii="Arial" w:eastAsia="Arial" w:hAnsi="Arial" w:cs="Arial"/>
          <w:sz w:val="20"/>
          <w:szCs w:val="20"/>
        </w:rPr>
      </w:pPr>
      <w:r w:rsidRPr="0063590B">
        <w:rPr>
          <w:rFonts w:ascii="Arial" w:hAnsi="Arial" w:cs="Arial"/>
          <w:b/>
          <w:sz w:val="20"/>
          <w:szCs w:val="20"/>
        </w:rPr>
        <w:t xml:space="preserve">The Traditional Approach to Blood Safety Is </w:t>
      </w:r>
      <w:r w:rsidRPr="0063590B">
        <w:rPr>
          <w:rFonts w:ascii="Arial" w:hAnsi="Arial" w:cs="Arial"/>
          <w:b/>
          <w:iCs/>
          <w:sz w:val="20"/>
          <w:szCs w:val="20"/>
        </w:rPr>
        <w:t>Reactive:</w:t>
      </w:r>
    </w:p>
    <w:p w14:paraId="2FB46134" w14:textId="61935D94" w:rsidR="00BD7ADE" w:rsidRPr="0063590B" w:rsidRDefault="00BD7ADE" w:rsidP="00BD7ADE">
      <w:pPr>
        <w:pStyle w:val="ListParagraph"/>
        <w:numPr>
          <w:ilvl w:val="0"/>
          <w:numId w:val="9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 xml:space="preserve">Bacterial contamination of platelets is a leading transfusion-transmitted infection (TTI) </w:t>
      </w:r>
      <w:r w:rsidR="009E304E" w:rsidRPr="0063590B">
        <w:rPr>
          <w:rFonts w:ascii="Arial" w:hAnsi="Arial" w:cs="Arial"/>
          <w:sz w:val="20"/>
          <w:szCs w:val="20"/>
        </w:rPr>
        <w:t xml:space="preserve">risk </w:t>
      </w:r>
      <w:r w:rsidRPr="0063590B">
        <w:rPr>
          <w:rFonts w:ascii="Arial" w:hAnsi="Arial" w:cs="Arial"/>
          <w:sz w:val="20"/>
          <w:szCs w:val="20"/>
        </w:rPr>
        <w:t>and can lead to sepsis and/or death.</w:t>
      </w:r>
      <w:r w:rsidRPr="0063590B">
        <w:rPr>
          <w:rFonts w:ascii="Arial" w:hAnsi="Arial" w:cs="Arial"/>
          <w:sz w:val="20"/>
          <w:szCs w:val="20"/>
        </w:rPr>
        <w:fldChar w:fldCharType="begin"/>
      </w:r>
      <w:r w:rsidRPr="0063590B">
        <w:rPr>
          <w:rFonts w:ascii="Arial" w:hAnsi="Arial" w:cs="Arial"/>
          <w:sz w:val="20"/>
          <w:szCs w:val="20"/>
        </w:rPr>
        <w:instrText xml:space="preserve"> ADDIN EN.CITE &lt;EndNote&gt;&lt;Cite&gt;&lt;Author&gt;FDA&lt;/Author&gt;&lt;Year&gt;2019&lt;/Year&gt;&lt;RecNum&gt;11939&lt;/RecNum&gt;&lt;DisplayText&gt;&lt;style face="superscript"&gt;1&lt;/style&gt;&lt;/DisplayText&gt;&lt;record&gt;&lt;rec-number&gt;11939&lt;/rec-number&gt;&lt;foreign-keys&gt;&lt;key app="EN" db-id="9d250z9pa9v0f1evta4x9v0ispfp2pr0tf0w" timestamp="1569855881"&gt;11939&lt;/key&gt;&lt;/foreign-keys&gt;&lt;ref-type name="Government Document"&gt;46&lt;/ref-type&gt;&lt;contributors&gt;&lt;authors&gt;&lt;author&gt;FDA&lt;/author&gt;&lt;/authors&gt;&lt;secondary-authors&gt;&lt;author&gt;&lt;style face="normal" font="default" size="10"&gt;CBER&lt;/style&gt;&lt;/author&gt;&lt;/secondary-authors&gt;&lt;/contributors&gt;&lt;titles&gt;&lt;title&gt;Bacterial Risk Control Strategies for Blood Collection Establishments and Transfusion Services to Enhance the Safety and Availability of Platelets for Transfusion: Guidance for Industry&lt;/title&gt;&lt;/titles&gt;&lt;dates&gt;&lt;year&gt;2019&lt;/year&gt;&lt;/dates&gt;&lt;pub-location&gt;Silver Spring, MD&lt;/pub-location&gt;&lt;publisher&gt;US Food and Drug Administration&lt;/publisher&gt;&lt;urls&gt;&lt;/urls&gt;&lt;/record&gt;&lt;/Cite&gt;&lt;/EndNote&gt;</w:instrText>
      </w:r>
      <w:r w:rsidRPr="0063590B">
        <w:rPr>
          <w:rFonts w:ascii="Arial" w:hAnsi="Arial" w:cs="Arial"/>
          <w:sz w:val="20"/>
          <w:szCs w:val="20"/>
        </w:rPr>
        <w:fldChar w:fldCharType="separate"/>
      </w:r>
      <w:r w:rsidRPr="0063590B">
        <w:rPr>
          <w:rFonts w:ascii="Arial" w:hAnsi="Arial" w:cs="Arial"/>
          <w:noProof/>
          <w:sz w:val="20"/>
          <w:szCs w:val="20"/>
          <w:vertAlign w:val="superscript"/>
        </w:rPr>
        <w:t>1</w:t>
      </w:r>
      <w:r w:rsidRPr="0063590B">
        <w:rPr>
          <w:rFonts w:ascii="Arial" w:hAnsi="Arial" w:cs="Arial"/>
          <w:sz w:val="20"/>
          <w:szCs w:val="20"/>
        </w:rPr>
        <w:fldChar w:fldCharType="end"/>
      </w:r>
    </w:p>
    <w:p w14:paraId="3601E1CE" w14:textId="0D6CA8AC" w:rsidR="00BD7ADE" w:rsidRPr="0063590B" w:rsidRDefault="00BD7ADE" w:rsidP="00BD7ADE">
      <w:pPr>
        <w:pStyle w:val="ListParagraph"/>
        <w:numPr>
          <w:ilvl w:val="0"/>
          <w:numId w:val="9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>Blood</w:t>
      </w:r>
      <w:r w:rsidR="006907E2" w:rsidRPr="0063590B">
        <w:rPr>
          <w:rFonts w:ascii="Arial" w:hAnsi="Arial" w:cs="Arial"/>
          <w:sz w:val="20"/>
          <w:szCs w:val="20"/>
        </w:rPr>
        <w:t xml:space="preserve"> and blood components</w:t>
      </w:r>
      <w:r w:rsidRPr="0063590B">
        <w:rPr>
          <w:rFonts w:ascii="Arial" w:hAnsi="Arial" w:cs="Arial"/>
          <w:sz w:val="20"/>
          <w:szCs w:val="20"/>
        </w:rPr>
        <w:t xml:space="preserve"> </w:t>
      </w:r>
      <w:r w:rsidR="006907E2" w:rsidRPr="0063590B">
        <w:rPr>
          <w:rFonts w:ascii="Arial" w:hAnsi="Arial" w:cs="Arial"/>
          <w:sz w:val="20"/>
          <w:szCs w:val="20"/>
        </w:rPr>
        <w:t>are</w:t>
      </w:r>
      <w:r w:rsidRPr="0063590B">
        <w:rPr>
          <w:rFonts w:ascii="Arial" w:hAnsi="Arial" w:cs="Arial"/>
          <w:sz w:val="20"/>
          <w:szCs w:val="20"/>
        </w:rPr>
        <w:t xml:space="preserve"> tested for a limited number of pathogens with current testing methods.</w:t>
      </w:r>
      <w:r w:rsidRPr="0063590B">
        <w:rPr>
          <w:rFonts w:ascii="Arial" w:hAnsi="Arial" w:cs="Arial"/>
          <w:sz w:val="20"/>
          <w:szCs w:val="20"/>
        </w:rPr>
        <w:fldChar w:fldCharType="begin"/>
      </w:r>
      <w:r w:rsidRPr="0063590B">
        <w:rPr>
          <w:rFonts w:ascii="Arial" w:hAnsi="Arial" w:cs="Arial"/>
          <w:sz w:val="20"/>
          <w:szCs w:val="20"/>
        </w:rPr>
        <w:instrText xml:space="preserve"> ADDIN EN.CITE &lt;EndNote&gt;&lt;Cite&gt;&lt;Author&gt;FDA&lt;/Author&gt;&lt;Year&gt;2019&lt;/Year&gt;&lt;RecNum&gt;11939&lt;/RecNum&gt;&lt;DisplayText&gt;&lt;style face="superscript"&gt;1&lt;/style&gt;&lt;/DisplayText&gt;&lt;record&gt;&lt;rec-number&gt;11939&lt;/rec-number&gt;&lt;foreign-keys&gt;&lt;key app="EN" db-id="9d250z9pa9v0f1evta4x9v0ispfp2pr0tf0w" timestamp="1569855881"&gt;11939&lt;/key&gt;&lt;/foreign-keys&gt;&lt;ref-type name="Government Document"&gt;46&lt;/ref-type&gt;&lt;contributors&gt;&lt;authors&gt;&lt;author&gt;FDA&lt;/author&gt;&lt;/authors&gt;&lt;secondary-authors&gt;&lt;author&gt;&lt;style face="normal" font="default" size="10"&gt;CBER&lt;/style&gt;&lt;/author&gt;&lt;/secondary-authors&gt;&lt;/contributors&gt;&lt;titles&gt;&lt;title&gt;Bacterial Risk Control Strategies for Blood Collection Establishments and Transfusion Services to Enhance the Safety and Availability of Platelets for Transfusion: Guidance for Industry&lt;/title&gt;&lt;/titles&gt;&lt;dates&gt;&lt;year&gt;2019&lt;/year&gt;&lt;/dates&gt;&lt;pub-location&gt;Silver Spring, MD&lt;/pub-location&gt;&lt;publisher&gt;US Food and Drug Administration&lt;/publisher&gt;&lt;urls&gt;&lt;/urls&gt;&lt;/record&gt;&lt;/Cite&gt;&lt;/EndNote&gt;</w:instrText>
      </w:r>
      <w:r w:rsidRPr="0063590B">
        <w:rPr>
          <w:rFonts w:ascii="Arial" w:hAnsi="Arial" w:cs="Arial"/>
          <w:sz w:val="20"/>
          <w:szCs w:val="20"/>
        </w:rPr>
        <w:fldChar w:fldCharType="separate"/>
      </w:r>
      <w:r w:rsidRPr="0063590B">
        <w:rPr>
          <w:rFonts w:ascii="Arial" w:hAnsi="Arial" w:cs="Arial"/>
          <w:noProof/>
          <w:sz w:val="20"/>
          <w:szCs w:val="20"/>
          <w:vertAlign w:val="superscript"/>
        </w:rPr>
        <w:t>1</w:t>
      </w:r>
      <w:r w:rsidRPr="0063590B">
        <w:rPr>
          <w:rFonts w:ascii="Arial" w:hAnsi="Arial" w:cs="Arial"/>
          <w:sz w:val="20"/>
          <w:szCs w:val="20"/>
        </w:rPr>
        <w:fldChar w:fldCharType="end"/>
      </w:r>
    </w:p>
    <w:p w14:paraId="0140747B" w14:textId="1AE54EE8" w:rsidR="00BD7ADE" w:rsidRPr="0063590B" w:rsidRDefault="006907E2" w:rsidP="00BD7ADE">
      <w:pPr>
        <w:pStyle w:val="ListParagraph"/>
        <w:numPr>
          <w:ilvl w:val="0"/>
          <w:numId w:val="9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>P</w:t>
      </w:r>
      <w:r w:rsidR="00BD7ADE" w:rsidRPr="0063590B">
        <w:rPr>
          <w:rFonts w:ascii="Arial" w:hAnsi="Arial" w:cs="Arial"/>
          <w:sz w:val="20"/>
          <w:szCs w:val="20"/>
        </w:rPr>
        <w:t xml:space="preserve">athogens continue to emerge, and tests for </w:t>
      </w:r>
      <w:r w:rsidRPr="0063590B">
        <w:rPr>
          <w:rFonts w:ascii="Arial" w:hAnsi="Arial" w:cs="Arial"/>
          <w:sz w:val="20"/>
          <w:szCs w:val="20"/>
        </w:rPr>
        <w:t>emerging</w:t>
      </w:r>
      <w:r w:rsidR="00BD7ADE" w:rsidRPr="0063590B">
        <w:rPr>
          <w:rFonts w:ascii="Arial" w:hAnsi="Arial" w:cs="Arial"/>
          <w:sz w:val="20"/>
          <w:szCs w:val="20"/>
        </w:rPr>
        <w:t xml:space="preserve"> pathogens do not currently exist.</w:t>
      </w:r>
      <w:r w:rsidR="00BD7ADE" w:rsidRPr="0063590B">
        <w:rPr>
          <w:rFonts w:ascii="Arial" w:hAnsi="Arial" w:cs="Arial"/>
          <w:sz w:val="20"/>
          <w:szCs w:val="20"/>
        </w:rPr>
        <w:fldChar w:fldCharType="begin"/>
      </w:r>
      <w:r w:rsidR="00BD7ADE" w:rsidRPr="0063590B">
        <w:rPr>
          <w:rFonts w:ascii="Arial" w:hAnsi="Arial" w:cs="Arial"/>
          <w:sz w:val="20"/>
          <w:szCs w:val="20"/>
        </w:rPr>
        <w:instrText xml:space="preserve"> ADDIN EN.CITE &lt;EndNote&gt;&lt;Cite&gt;&lt;Author&gt;Howard&lt;/Author&gt;&lt;Year&gt;2012&lt;/Year&gt;&lt;RecNum&gt;5522&lt;/RecNum&gt;&lt;DisplayText&gt;&lt;style face="superscript"&gt;2,3&lt;/style&gt;&lt;/DisplayText&gt;&lt;record&gt;&lt;rec-number&gt;5522&lt;/rec-number&gt;&lt;foreign-keys&gt;&lt;key app="EN" db-id="9d250z9pa9v0f1evta4x9v0ispfp2pr0tf0w" timestamp="0"&gt;5522&lt;/key&gt;&lt;/foreign-keys&gt;&lt;ref-type name="Journal Article"&gt;17&lt;/ref-type&gt;&lt;contributors&gt;&lt;authors&gt;&lt;author&gt;Howard, CR&lt;/author&gt;&lt;author&gt;Fletcher, NF&lt;/author&gt;&lt;/authors&gt;&lt;/contributors&gt;&lt;titles&gt;&lt;title&gt;Emerging virus diseases: can we ever expect the unexpected?&lt;/title&gt;&lt;secondary-title&gt;Emerging Microbes and Infections&lt;/secondary-title&gt;&lt;/titles&gt;&lt;periodical&gt;&lt;full-title&gt;Emerging Microbes and Infections&lt;/full-title&gt;&lt;/periodical&gt;&lt;volume&gt;1&lt;/volume&gt;&lt;number&gt;e46&lt;/number&gt;&lt;edition&gt;26 December 2012&lt;/edition&gt;&lt;dates&gt;&lt;year&gt;2012&lt;/year&gt;&lt;/dates&gt;&lt;urls&gt;&lt;/urls&gt;&lt;electronic-resource-num&gt;10.1038/emi.2012.47&lt;/electronic-resource-num&gt;&lt;/record&gt;&lt;/Cite&gt;&lt;Cite&gt;&lt;Author&gt;Diuk-Wasser&lt;/Author&gt;&lt;Year&gt;2013&lt;/Year&gt;&lt;RecNum&gt;5519&lt;/RecNum&gt;&lt;record&gt;&lt;rec-number&gt;5519&lt;/rec-number&gt;&lt;foreign-keys&gt;&lt;key app="EN" db-id="9d250z9pa9v0f1evta4x9v0ispfp2pr0tf0w" timestamp="0"&gt;5519&lt;/key&gt;&lt;/foreign-keys&gt;&lt;ref-type name="Electronic Article"&gt;43&lt;/ref-type&gt;&lt;contributors&gt;&lt;authors&gt;&lt;author&gt;Diuk-Wasser, MA&lt;/author&gt;&lt;/authors&gt;&lt;/contributors&gt;&lt;titles&gt;&lt;title&gt;Mosquito-borne Diseases on the Uptick—Thanks to Global Warming&lt;/title&gt;&lt;/titles&gt;&lt;dates&gt;&lt;year&gt;2013&lt;/year&gt;&lt;pub-dates&gt;&lt;date&gt;Nov 11, 2017&lt;/date&gt;&lt;/pub-dates&gt;&lt;/dates&gt;&lt;publisher&gt;Scientific American, A Division of Nature America&lt;/publisher&gt;&lt;urls&gt;&lt;related-urls&gt;&lt;url&gt;https://www.scientificamerican.com/article/mosquito-borne-diseases-on-the-uptick-thanks-to-global-warming/?print=true&lt;/url&gt;&lt;/related-urls&gt;&lt;/urls&gt;&lt;/record&gt;&lt;/Cite&gt;&lt;/EndNote&gt;</w:instrText>
      </w:r>
      <w:r w:rsidR="00BD7ADE" w:rsidRPr="0063590B">
        <w:rPr>
          <w:rFonts w:ascii="Arial" w:hAnsi="Arial" w:cs="Arial"/>
          <w:sz w:val="20"/>
          <w:szCs w:val="20"/>
        </w:rPr>
        <w:fldChar w:fldCharType="separate"/>
      </w:r>
      <w:r w:rsidR="00BD7ADE" w:rsidRPr="0063590B">
        <w:rPr>
          <w:rFonts w:ascii="Arial" w:hAnsi="Arial" w:cs="Arial"/>
          <w:noProof/>
          <w:sz w:val="20"/>
          <w:szCs w:val="20"/>
          <w:vertAlign w:val="superscript"/>
        </w:rPr>
        <w:t>2,3</w:t>
      </w:r>
      <w:r w:rsidR="00BD7ADE" w:rsidRPr="0063590B">
        <w:rPr>
          <w:rFonts w:ascii="Arial" w:hAnsi="Arial" w:cs="Arial"/>
          <w:sz w:val="20"/>
          <w:szCs w:val="20"/>
        </w:rPr>
        <w:fldChar w:fldCharType="end"/>
      </w:r>
    </w:p>
    <w:p w14:paraId="20C14197" w14:textId="77777777" w:rsidR="00BD7ADE" w:rsidRPr="0063590B" w:rsidRDefault="00BD7ADE" w:rsidP="00BD7ADE">
      <w:pPr>
        <w:pStyle w:val="ListParagraph"/>
        <w:numPr>
          <w:ilvl w:val="0"/>
          <w:numId w:val="9"/>
        </w:numPr>
        <w:spacing w:after="24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>Transfusion reactions including sepsis or fatal sepsis reactions may be under recognized and underreported.</w:t>
      </w:r>
      <w:r w:rsidRPr="0063590B">
        <w:rPr>
          <w:rFonts w:ascii="Arial" w:hAnsi="Arial" w:cs="Arial"/>
          <w:sz w:val="20"/>
          <w:szCs w:val="20"/>
        </w:rPr>
        <w:fldChar w:fldCharType="begin"/>
      </w:r>
      <w:r w:rsidRPr="0063590B">
        <w:rPr>
          <w:rFonts w:ascii="Arial" w:hAnsi="Arial" w:cs="Arial"/>
          <w:sz w:val="20"/>
          <w:szCs w:val="20"/>
        </w:rPr>
        <w:instrText xml:space="preserve"> ADDIN EN.CITE &lt;EndNote&gt;&lt;Cite&gt;&lt;Author&gt;Hong&lt;/Author&gt;&lt;Year&gt;2016&lt;/Year&gt;&lt;RecNum&gt;1769&lt;/RecNum&gt;&lt;DisplayText&gt;&lt;style face="superscript"&gt;4&lt;/style&gt;&lt;/DisplayText&gt;&lt;record&gt;&lt;rec-number&gt;1769&lt;/rec-number&gt;&lt;foreign-keys&gt;&lt;key app="EN" db-id="9d250z9pa9v0f1evta4x9v0ispfp2pr0tf0w" timestamp="0"&gt;1769&lt;/key&gt;&lt;/foreign-keys&gt;&lt;ref-type name="Journal Article"&gt;17&lt;/ref-type&gt;&lt;contributors&gt;&lt;authors&gt;&lt;author&gt;Hong, H.&lt;/author&gt;&lt;author&gt;Xiao, W.&lt;/author&gt;&lt;author&gt;Lazarus, H. M.&lt;/author&gt;&lt;author&gt;Good, C. E.&lt;/author&gt;&lt;author&gt;Maitta, R. W.&lt;/author&gt;&lt;author&gt;Jacobs, M. R.&lt;/author&gt;&lt;/authors&gt;&lt;/contributors&gt;&lt;auth-address&gt;Departments of Pathology and Medicine, University Hospitals Case Medical Center and Case Western Reserve University School of Medicine, Cleveland, OH.&lt;/auth-address&gt;&lt;titles&gt;&lt;title&gt;Detection of septic transfusion reactions to platelet transfusions by active and passive surveillance&lt;/title&gt;&lt;secondary-title&gt;Blood&lt;/secondary-title&gt;&lt;alt-title&gt;Blood&lt;/alt-title&gt;&lt;/titles&gt;&lt;periodical&gt;&lt;full-title&gt;Blood&lt;/full-title&gt;&lt;/periodical&gt;&lt;alt-periodical&gt;&lt;full-title&gt;Blood&lt;/full-title&gt;&lt;/alt-periodical&gt;&lt;pages&gt;496-502&lt;/pages&gt;&lt;volume&gt;127&lt;/volume&gt;&lt;number&gt;4&lt;/number&gt;&lt;edition&gt;2015/11/26&lt;/edition&gt;&lt;dates&gt;&lt;year&gt;2016&lt;/year&gt;&lt;pub-dates&gt;&lt;date&gt;Jan 28&lt;/date&gt;&lt;/pub-dates&gt;&lt;/dates&gt;&lt;isbn&gt;1528-0020 (Electronic)&amp;#xD;0006-4971 (Linking)&lt;/isbn&gt;&lt;accession-num&gt;26598718&lt;/accession-num&gt;&lt;urls&gt;&lt;related-urls&gt;&lt;url&gt;&lt;style face="underline" font="default" size="100%"&gt;http://www.ncbi.nlm.nih.gov/pubmed/26598718&lt;/style&gt;&lt;/url&gt;&lt;/related-urls&gt;&lt;/urls&gt;&lt;electronic-resource-num&gt;10.1182/blood-2015-07-655944&lt;/electronic-resource-num&gt;&lt;language&gt;eng&lt;/language&gt;&lt;/record&gt;&lt;/Cite&gt;&lt;/EndNote&gt;</w:instrText>
      </w:r>
      <w:r w:rsidRPr="0063590B">
        <w:rPr>
          <w:rFonts w:ascii="Arial" w:hAnsi="Arial" w:cs="Arial"/>
          <w:sz w:val="20"/>
          <w:szCs w:val="20"/>
        </w:rPr>
        <w:fldChar w:fldCharType="separate"/>
      </w:r>
      <w:r w:rsidRPr="0063590B">
        <w:rPr>
          <w:rFonts w:ascii="Arial" w:hAnsi="Arial" w:cs="Arial"/>
          <w:noProof/>
          <w:sz w:val="20"/>
          <w:szCs w:val="20"/>
          <w:vertAlign w:val="superscript"/>
        </w:rPr>
        <w:t>4</w:t>
      </w:r>
      <w:r w:rsidRPr="0063590B">
        <w:rPr>
          <w:rFonts w:ascii="Arial" w:hAnsi="Arial" w:cs="Arial"/>
          <w:sz w:val="20"/>
          <w:szCs w:val="20"/>
        </w:rPr>
        <w:fldChar w:fldCharType="end"/>
      </w:r>
    </w:p>
    <w:p w14:paraId="30FE0C75" w14:textId="258970EC" w:rsidR="00BD7ADE" w:rsidRPr="0063590B" w:rsidRDefault="00BD7ADE" w:rsidP="00BD7ADE">
      <w:pPr>
        <w:spacing w:after="240" w:line="240" w:lineRule="auto"/>
        <w:rPr>
          <w:rFonts w:ascii="Arial" w:hAnsi="Arial" w:cs="Arial"/>
          <w:b/>
          <w:sz w:val="20"/>
          <w:szCs w:val="20"/>
        </w:rPr>
      </w:pPr>
      <w:r w:rsidRPr="0063590B">
        <w:rPr>
          <w:rFonts w:ascii="Arial" w:hAnsi="Arial" w:cs="Arial"/>
          <w:b/>
          <w:sz w:val="20"/>
          <w:szCs w:val="20"/>
        </w:rPr>
        <w:t>The INTERCEPT</w:t>
      </w:r>
      <w:r w:rsidR="00C41EEB" w:rsidRPr="0063590B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63590B">
        <w:rPr>
          <w:rFonts w:ascii="Arial" w:hAnsi="Arial" w:cs="Arial"/>
          <w:b/>
          <w:sz w:val="20"/>
          <w:szCs w:val="20"/>
        </w:rPr>
        <w:t xml:space="preserve"> Blood System</w:t>
      </w:r>
      <w:r w:rsidR="00C41EEB" w:rsidRPr="0063590B">
        <w:rPr>
          <w:rFonts w:ascii="Arial" w:hAnsi="Arial" w:cs="Arial"/>
          <w:b/>
          <w:sz w:val="20"/>
          <w:szCs w:val="20"/>
        </w:rPr>
        <w:t xml:space="preserve"> for Platelets</w:t>
      </w:r>
      <w:r w:rsidRPr="0063590B">
        <w:rPr>
          <w:rFonts w:ascii="Arial" w:hAnsi="Arial" w:cs="Arial"/>
          <w:b/>
          <w:sz w:val="20"/>
          <w:szCs w:val="20"/>
        </w:rPr>
        <w:t xml:space="preserve"> Pathogen Reduction System, is a </w:t>
      </w:r>
      <w:r w:rsidRPr="0063590B">
        <w:rPr>
          <w:rFonts w:ascii="Arial" w:hAnsi="Arial" w:cs="Arial"/>
          <w:b/>
          <w:iCs/>
          <w:sz w:val="20"/>
          <w:szCs w:val="20"/>
        </w:rPr>
        <w:t>Proactive</w:t>
      </w:r>
      <w:r w:rsidRPr="0063590B">
        <w:rPr>
          <w:rFonts w:ascii="Arial" w:hAnsi="Arial" w:cs="Arial"/>
          <w:b/>
          <w:sz w:val="20"/>
          <w:szCs w:val="20"/>
        </w:rPr>
        <w:t xml:space="preserve"> Approach to Platelet Safety:</w:t>
      </w:r>
    </w:p>
    <w:p w14:paraId="1D30B83D" w14:textId="244D5B4D" w:rsidR="00BD7ADE" w:rsidRPr="0063590B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 xml:space="preserve">INTERCEPT treatment </w:t>
      </w:r>
      <w:r w:rsidR="006907E2" w:rsidRPr="0063590B">
        <w:rPr>
          <w:rFonts w:ascii="Arial" w:hAnsi="Arial" w:cs="Arial"/>
          <w:sz w:val="20"/>
          <w:szCs w:val="20"/>
        </w:rPr>
        <w:t xml:space="preserve">(pathogen reduction) </w:t>
      </w:r>
      <w:r w:rsidRPr="0063590B">
        <w:rPr>
          <w:rFonts w:ascii="Arial" w:hAnsi="Arial" w:cs="Arial"/>
          <w:sz w:val="20"/>
          <w:szCs w:val="20"/>
        </w:rPr>
        <w:t>reduces the risk</w:t>
      </w:r>
      <w:r w:rsidRPr="0063590B">
        <w:rPr>
          <w:rFonts w:ascii="Arial" w:eastAsia="Times New Roman" w:hAnsi="Arial" w:cs="Arial"/>
          <w:spacing w:val="-2"/>
          <w:sz w:val="20"/>
          <w:szCs w:val="20"/>
        </w:rPr>
        <w:t xml:space="preserve"> </w:t>
      </w:r>
      <w:r w:rsidRPr="0063590B">
        <w:rPr>
          <w:rFonts w:ascii="Arial" w:eastAsia="Times New Roman" w:hAnsi="Arial" w:cs="Arial"/>
          <w:sz w:val="20"/>
          <w:szCs w:val="20"/>
        </w:rPr>
        <w:t>of</w:t>
      </w:r>
      <w:r w:rsidRPr="0063590B">
        <w:rPr>
          <w:rFonts w:ascii="Arial" w:eastAsia="Times New Roman" w:hAnsi="Arial" w:cs="Arial"/>
          <w:spacing w:val="1"/>
          <w:sz w:val="20"/>
          <w:szCs w:val="20"/>
        </w:rPr>
        <w:t xml:space="preserve"> t</w:t>
      </w:r>
      <w:r w:rsidRPr="0063590B">
        <w:rPr>
          <w:rFonts w:ascii="Arial" w:eastAsia="Times New Roman" w:hAnsi="Arial" w:cs="Arial"/>
          <w:spacing w:val="-2"/>
          <w:sz w:val="20"/>
          <w:szCs w:val="20"/>
        </w:rPr>
        <w:t>r</w:t>
      </w:r>
      <w:r w:rsidRPr="0063590B">
        <w:rPr>
          <w:rFonts w:ascii="Arial" w:eastAsia="Times New Roman" w:hAnsi="Arial" w:cs="Arial"/>
          <w:sz w:val="20"/>
          <w:szCs w:val="20"/>
        </w:rPr>
        <w:t>an</w:t>
      </w:r>
      <w:r w:rsidRPr="0063590B">
        <w:rPr>
          <w:rFonts w:ascii="Arial" w:eastAsia="Times New Roman" w:hAnsi="Arial" w:cs="Arial"/>
          <w:spacing w:val="-2"/>
          <w:sz w:val="20"/>
          <w:szCs w:val="20"/>
        </w:rPr>
        <w:t>s</w:t>
      </w:r>
      <w:r w:rsidRPr="0063590B">
        <w:rPr>
          <w:rFonts w:ascii="Arial" w:eastAsia="Times New Roman" w:hAnsi="Arial" w:cs="Arial"/>
          <w:spacing w:val="1"/>
          <w:sz w:val="20"/>
          <w:szCs w:val="20"/>
        </w:rPr>
        <w:t>f</w:t>
      </w:r>
      <w:r w:rsidRPr="0063590B">
        <w:rPr>
          <w:rFonts w:ascii="Arial" w:eastAsia="Times New Roman" w:hAnsi="Arial" w:cs="Arial"/>
          <w:sz w:val="20"/>
          <w:szCs w:val="20"/>
        </w:rPr>
        <w:t>u</w:t>
      </w:r>
      <w:r w:rsidRPr="0063590B">
        <w:rPr>
          <w:rFonts w:ascii="Arial" w:eastAsia="Times New Roman" w:hAnsi="Arial" w:cs="Arial"/>
          <w:spacing w:val="-2"/>
          <w:sz w:val="20"/>
          <w:szCs w:val="20"/>
        </w:rPr>
        <w:t>s</w:t>
      </w:r>
      <w:r w:rsidRPr="0063590B">
        <w:rPr>
          <w:rFonts w:ascii="Arial" w:eastAsia="Times New Roman" w:hAnsi="Arial" w:cs="Arial"/>
          <w:spacing w:val="1"/>
          <w:sz w:val="20"/>
          <w:szCs w:val="20"/>
        </w:rPr>
        <w:t>i</w:t>
      </w:r>
      <w:r w:rsidRPr="0063590B">
        <w:rPr>
          <w:rFonts w:ascii="Arial" w:eastAsia="Times New Roman" w:hAnsi="Arial" w:cs="Arial"/>
          <w:sz w:val="20"/>
          <w:szCs w:val="20"/>
        </w:rPr>
        <w:t>on</w:t>
      </w:r>
      <w:r w:rsidRPr="0063590B">
        <w:rPr>
          <w:rFonts w:ascii="Arial" w:eastAsia="Times New Roman" w:hAnsi="Arial" w:cs="Arial"/>
          <w:spacing w:val="-5"/>
          <w:sz w:val="20"/>
          <w:szCs w:val="20"/>
        </w:rPr>
        <w:t>-</w:t>
      </w:r>
      <w:r w:rsidRPr="0063590B">
        <w:rPr>
          <w:rFonts w:ascii="Arial" w:eastAsia="Times New Roman" w:hAnsi="Arial" w:cs="Arial"/>
          <w:spacing w:val="1"/>
          <w:sz w:val="20"/>
          <w:szCs w:val="20"/>
        </w:rPr>
        <w:t>tr</w:t>
      </w:r>
      <w:r w:rsidRPr="0063590B">
        <w:rPr>
          <w:rFonts w:ascii="Arial" w:eastAsia="Times New Roman" w:hAnsi="Arial" w:cs="Arial"/>
          <w:sz w:val="20"/>
          <w:szCs w:val="20"/>
        </w:rPr>
        <w:t>ans</w:t>
      </w:r>
      <w:r w:rsidRPr="0063590B">
        <w:rPr>
          <w:rFonts w:ascii="Arial" w:eastAsia="Times New Roman" w:hAnsi="Arial" w:cs="Arial"/>
          <w:spacing w:val="-4"/>
          <w:sz w:val="20"/>
          <w:szCs w:val="20"/>
        </w:rPr>
        <w:t>m</w:t>
      </w:r>
      <w:r w:rsidRPr="0063590B">
        <w:rPr>
          <w:rFonts w:ascii="Arial" w:eastAsia="Times New Roman" w:hAnsi="Arial" w:cs="Arial"/>
          <w:spacing w:val="1"/>
          <w:sz w:val="20"/>
          <w:szCs w:val="20"/>
        </w:rPr>
        <w:t>it</w:t>
      </w:r>
      <w:r w:rsidRPr="0063590B">
        <w:rPr>
          <w:rFonts w:ascii="Arial" w:eastAsia="Times New Roman" w:hAnsi="Arial" w:cs="Arial"/>
          <w:spacing w:val="-1"/>
          <w:sz w:val="20"/>
          <w:szCs w:val="20"/>
        </w:rPr>
        <w:t>t</w:t>
      </w:r>
      <w:r w:rsidRPr="0063590B">
        <w:rPr>
          <w:rFonts w:ascii="Arial" w:eastAsia="Times New Roman" w:hAnsi="Arial" w:cs="Arial"/>
          <w:spacing w:val="-2"/>
          <w:sz w:val="20"/>
          <w:szCs w:val="20"/>
        </w:rPr>
        <w:t>e</w:t>
      </w:r>
      <w:r w:rsidRPr="0063590B">
        <w:rPr>
          <w:rFonts w:ascii="Arial" w:eastAsia="Times New Roman" w:hAnsi="Arial" w:cs="Arial"/>
          <w:sz w:val="20"/>
          <w:szCs w:val="20"/>
        </w:rPr>
        <w:t xml:space="preserve">d </w:t>
      </w:r>
      <w:r w:rsidRPr="0063590B">
        <w:rPr>
          <w:rFonts w:ascii="Arial" w:eastAsia="Times New Roman" w:hAnsi="Arial" w:cs="Arial"/>
          <w:spacing w:val="1"/>
          <w:sz w:val="20"/>
          <w:szCs w:val="20"/>
        </w:rPr>
        <w:t>i</w:t>
      </w:r>
      <w:r w:rsidRPr="0063590B">
        <w:rPr>
          <w:rFonts w:ascii="Arial" w:eastAsia="Times New Roman" w:hAnsi="Arial" w:cs="Arial"/>
          <w:sz w:val="20"/>
          <w:szCs w:val="20"/>
        </w:rPr>
        <w:t>n</w:t>
      </w:r>
      <w:r w:rsidRPr="0063590B">
        <w:rPr>
          <w:rFonts w:ascii="Arial" w:eastAsia="Times New Roman" w:hAnsi="Arial" w:cs="Arial"/>
          <w:spacing w:val="-2"/>
          <w:sz w:val="20"/>
          <w:szCs w:val="20"/>
        </w:rPr>
        <w:t>f</w:t>
      </w:r>
      <w:r w:rsidRPr="0063590B">
        <w:rPr>
          <w:rFonts w:ascii="Arial" w:eastAsia="Times New Roman" w:hAnsi="Arial" w:cs="Arial"/>
          <w:sz w:val="20"/>
          <w:szCs w:val="20"/>
        </w:rPr>
        <w:t>e</w:t>
      </w:r>
      <w:r w:rsidRPr="0063590B">
        <w:rPr>
          <w:rFonts w:ascii="Arial" w:eastAsia="Times New Roman" w:hAnsi="Arial" w:cs="Arial"/>
          <w:spacing w:val="-2"/>
          <w:sz w:val="20"/>
          <w:szCs w:val="20"/>
        </w:rPr>
        <w:t>c</w:t>
      </w:r>
      <w:r w:rsidRPr="0063590B">
        <w:rPr>
          <w:rFonts w:ascii="Arial" w:eastAsia="Times New Roman" w:hAnsi="Arial" w:cs="Arial"/>
          <w:spacing w:val="1"/>
          <w:sz w:val="20"/>
          <w:szCs w:val="20"/>
        </w:rPr>
        <w:t>ti</w:t>
      </w:r>
      <w:r w:rsidRPr="0063590B">
        <w:rPr>
          <w:rFonts w:ascii="Arial" w:eastAsia="Times New Roman" w:hAnsi="Arial" w:cs="Arial"/>
          <w:sz w:val="20"/>
          <w:szCs w:val="20"/>
        </w:rPr>
        <w:t>on</w:t>
      </w:r>
      <w:r w:rsidRPr="0063590B">
        <w:rPr>
          <w:rFonts w:ascii="Arial" w:eastAsia="Times New Roman" w:hAnsi="Arial" w:cs="Arial"/>
          <w:spacing w:val="-2"/>
          <w:sz w:val="20"/>
          <w:szCs w:val="20"/>
        </w:rPr>
        <w:t xml:space="preserve"> (</w:t>
      </w:r>
      <w:r w:rsidRPr="0063590B">
        <w:rPr>
          <w:rFonts w:ascii="Arial" w:eastAsia="Times New Roman" w:hAnsi="Arial" w:cs="Arial"/>
          <w:sz w:val="20"/>
          <w:szCs w:val="20"/>
        </w:rPr>
        <w:t>T</w:t>
      </w:r>
      <w:r w:rsidRPr="0063590B">
        <w:rPr>
          <w:rFonts w:ascii="Arial" w:eastAsia="Times New Roman" w:hAnsi="Arial" w:cs="Arial"/>
          <w:spacing w:val="2"/>
          <w:sz w:val="20"/>
          <w:szCs w:val="20"/>
        </w:rPr>
        <w:t>T</w:t>
      </w:r>
      <w:r w:rsidRPr="0063590B">
        <w:rPr>
          <w:rFonts w:ascii="Arial" w:eastAsia="Times New Roman" w:hAnsi="Arial" w:cs="Arial"/>
          <w:spacing w:val="-4"/>
          <w:sz w:val="20"/>
          <w:szCs w:val="20"/>
        </w:rPr>
        <w:t>I</w:t>
      </w:r>
      <w:r w:rsidRPr="0063590B">
        <w:rPr>
          <w:rFonts w:ascii="Arial" w:eastAsia="Times New Roman" w:hAnsi="Arial" w:cs="Arial"/>
          <w:spacing w:val="1"/>
          <w:sz w:val="20"/>
          <w:szCs w:val="20"/>
        </w:rPr>
        <w:t>)</w:t>
      </w:r>
      <w:r w:rsidRPr="0063590B">
        <w:rPr>
          <w:rFonts w:ascii="Arial" w:eastAsia="Times New Roman" w:hAnsi="Arial" w:cs="Arial"/>
          <w:sz w:val="20"/>
          <w:szCs w:val="20"/>
        </w:rPr>
        <w:t xml:space="preserve">, </w:t>
      </w:r>
      <w:r w:rsidRPr="0063590B">
        <w:rPr>
          <w:rFonts w:ascii="Arial" w:hAnsi="Arial" w:cs="Arial"/>
          <w:sz w:val="20"/>
          <w:szCs w:val="20"/>
        </w:rPr>
        <w:t>including sepsis, in platelet recipients.</w:t>
      </w:r>
      <w:r w:rsidRPr="0063590B">
        <w:rPr>
          <w:rFonts w:ascii="Arial" w:hAnsi="Arial" w:cs="Arial"/>
          <w:sz w:val="20"/>
          <w:szCs w:val="20"/>
        </w:rPr>
        <w:fldChar w:fldCharType="begin">
          <w:fldData xml:space="preserve">PEVuZE5vdGU+PENpdGU+PEF1dGhvcj5CZW5qYW1pbjwvQXV0aG9yPjxZZWFyPjIwMTc8L1llYXI+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</w:fldData>
        </w:fldChar>
      </w:r>
      <w:r w:rsidRPr="0063590B">
        <w:rPr>
          <w:rFonts w:ascii="Arial" w:hAnsi="Arial" w:cs="Arial"/>
          <w:sz w:val="20"/>
          <w:szCs w:val="20"/>
        </w:rPr>
        <w:instrText xml:space="preserve"> ADDIN EN.CITE </w:instrText>
      </w:r>
      <w:r w:rsidRPr="0063590B">
        <w:rPr>
          <w:rFonts w:ascii="Arial" w:hAnsi="Arial" w:cs="Arial"/>
          <w:sz w:val="20"/>
          <w:szCs w:val="20"/>
        </w:rPr>
        <w:fldChar w:fldCharType="begin">
          <w:fldData xml:space="preserve">PEVuZE5vdGU+PENpdGU+PEF1dGhvcj5CZW5qYW1pbjwvQXV0aG9yPjxZZWFyPjIwMTc8L1llYXI+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</w:fldData>
        </w:fldChar>
      </w:r>
      <w:r w:rsidRPr="0063590B">
        <w:rPr>
          <w:rFonts w:ascii="Arial" w:hAnsi="Arial" w:cs="Arial"/>
          <w:sz w:val="20"/>
          <w:szCs w:val="20"/>
        </w:rPr>
        <w:instrText xml:space="preserve"> ADDIN EN.CITE.DATA </w:instrText>
      </w:r>
      <w:r w:rsidRPr="0063590B">
        <w:rPr>
          <w:rFonts w:ascii="Arial" w:hAnsi="Arial" w:cs="Arial"/>
          <w:sz w:val="20"/>
          <w:szCs w:val="20"/>
        </w:rPr>
      </w:r>
      <w:r w:rsidRPr="0063590B">
        <w:rPr>
          <w:rFonts w:ascii="Arial" w:hAnsi="Arial" w:cs="Arial"/>
          <w:sz w:val="20"/>
          <w:szCs w:val="20"/>
        </w:rPr>
        <w:fldChar w:fldCharType="end"/>
      </w:r>
      <w:r w:rsidRPr="0063590B">
        <w:rPr>
          <w:rFonts w:ascii="Arial" w:hAnsi="Arial" w:cs="Arial"/>
          <w:sz w:val="20"/>
          <w:szCs w:val="20"/>
        </w:rPr>
      </w:r>
      <w:r w:rsidRPr="0063590B">
        <w:rPr>
          <w:rFonts w:ascii="Arial" w:hAnsi="Arial" w:cs="Arial"/>
          <w:sz w:val="20"/>
          <w:szCs w:val="20"/>
        </w:rPr>
        <w:fldChar w:fldCharType="separate"/>
      </w:r>
      <w:r w:rsidRPr="0063590B">
        <w:rPr>
          <w:rFonts w:ascii="Arial" w:hAnsi="Arial" w:cs="Arial"/>
          <w:noProof/>
          <w:sz w:val="20"/>
          <w:szCs w:val="20"/>
          <w:vertAlign w:val="superscript"/>
        </w:rPr>
        <w:t>5,6</w:t>
      </w:r>
      <w:r w:rsidRPr="0063590B">
        <w:rPr>
          <w:rFonts w:ascii="Arial" w:hAnsi="Arial" w:cs="Arial"/>
          <w:sz w:val="20"/>
          <w:szCs w:val="20"/>
        </w:rPr>
        <w:fldChar w:fldCharType="end"/>
      </w:r>
      <w:r w:rsidRPr="0063590B">
        <w:rPr>
          <w:rFonts w:ascii="Arial" w:hAnsi="Arial" w:cs="Arial"/>
          <w:sz w:val="20"/>
          <w:szCs w:val="20"/>
        </w:rPr>
        <w:t xml:space="preserve"> </w:t>
      </w:r>
    </w:p>
    <w:p w14:paraId="7118C22E" w14:textId="5B9022C3" w:rsidR="00BD7ADE" w:rsidRPr="00710955" w:rsidRDefault="0063590B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710955">
        <w:rPr>
          <w:rFonts w:ascii="Arial" w:hAnsi="Arial" w:cs="Arial"/>
          <w:sz w:val="20"/>
          <w:szCs w:val="20"/>
        </w:rPr>
        <w:t xml:space="preserve">FDA </w:t>
      </w:r>
      <w:proofErr w:type="spellStart"/>
      <w:r w:rsidRPr="00710955">
        <w:rPr>
          <w:rFonts w:ascii="Arial" w:hAnsi="Arial" w:cs="Arial"/>
          <w:sz w:val="20"/>
          <w:szCs w:val="20"/>
        </w:rPr>
        <w:t>Guidances</w:t>
      </w:r>
      <w:proofErr w:type="spellEnd"/>
      <w:r w:rsidRPr="00710955">
        <w:rPr>
          <w:rFonts w:ascii="Arial" w:hAnsi="Arial" w:cs="Arial"/>
          <w:sz w:val="20"/>
          <w:szCs w:val="20"/>
        </w:rPr>
        <w:t xml:space="preserve"> allow p</w:t>
      </w:r>
      <w:r w:rsidR="006907E2" w:rsidRPr="00710955">
        <w:rPr>
          <w:rFonts w:ascii="Arial" w:hAnsi="Arial" w:cs="Arial"/>
          <w:sz w:val="20"/>
          <w:szCs w:val="20"/>
        </w:rPr>
        <w:t>athogen reduction</w:t>
      </w:r>
      <w:r w:rsidR="00BD7ADE" w:rsidRPr="00710955">
        <w:rPr>
          <w:rFonts w:ascii="Arial" w:hAnsi="Arial" w:cs="Arial"/>
          <w:sz w:val="20"/>
          <w:szCs w:val="20"/>
        </w:rPr>
        <w:t xml:space="preserve"> </w:t>
      </w:r>
      <w:r w:rsidRPr="00710955">
        <w:rPr>
          <w:rFonts w:ascii="Arial" w:hAnsi="Arial" w:cs="Arial"/>
          <w:sz w:val="20"/>
          <w:szCs w:val="20"/>
        </w:rPr>
        <w:t>as an</w:t>
      </w:r>
      <w:r w:rsidR="00253E37" w:rsidRPr="00710955">
        <w:rPr>
          <w:rFonts w:ascii="Arial" w:hAnsi="Arial" w:cs="Arial"/>
          <w:sz w:val="20"/>
          <w:szCs w:val="20"/>
        </w:rPr>
        <w:t xml:space="preserve"> </w:t>
      </w:r>
      <w:r w:rsidR="00BD7ADE" w:rsidRPr="00710955">
        <w:rPr>
          <w:rFonts w:ascii="Arial" w:hAnsi="Arial" w:cs="Arial"/>
          <w:sz w:val="20"/>
          <w:szCs w:val="20"/>
        </w:rPr>
        <w:t xml:space="preserve">alternative to </w:t>
      </w:r>
      <w:r w:rsidR="00643760">
        <w:rPr>
          <w:rFonts w:ascii="Arial" w:hAnsi="Arial" w:cs="Arial"/>
          <w:sz w:val="20"/>
          <w:szCs w:val="20"/>
        </w:rPr>
        <w:t>Malaria</w:t>
      </w:r>
      <w:r w:rsidR="00643760" w:rsidRPr="00710955">
        <w:rPr>
          <w:rFonts w:ascii="Arial" w:hAnsi="Arial" w:cs="Arial"/>
          <w:sz w:val="20"/>
          <w:szCs w:val="20"/>
        </w:rPr>
        <w:t xml:space="preserve"> </w:t>
      </w:r>
      <w:r w:rsidR="00BD7ADE" w:rsidRPr="00710955">
        <w:rPr>
          <w:rFonts w:ascii="Arial" w:hAnsi="Arial" w:cs="Arial"/>
          <w:sz w:val="20"/>
          <w:szCs w:val="20"/>
        </w:rPr>
        <w:t>and Babesia testing requirements.</w:t>
      </w:r>
      <w:r w:rsidR="00BD7ADE" w:rsidRPr="00710955">
        <w:rPr>
          <w:rFonts w:ascii="Arial" w:hAnsi="Arial" w:cs="Arial"/>
          <w:sz w:val="20"/>
          <w:szCs w:val="20"/>
        </w:rPr>
        <w:fldChar w:fldCharType="begin">
          <w:fldData xml:space="preserve">PEVuZE5vdGU+PENpdGU+PEF1dGhvcj5GREE8L0F1dGhvcj48WWVhcj5NYXkgMjAxOTwvWWVhcj48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</w:fldData>
        </w:fldChar>
      </w:r>
      <w:r w:rsidR="00BD7ADE" w:rsidRPr="00710955">
        <w:rPr>
          <w:rFonts w:ascii="Arial" w:hAnsi="Arial" w:cs="Arial"/>
          <w:sz w:val="20"/>
          <w:szCs w:val="20"/>
        </w:rPr>
        <w:instrText xml:space="preserve"> ADDIN EN.CITE </w:instrText>
      </w:r>
      <w:r w:rsidR="00BD7ADE" w:rsidRPr="00710955">
        <w:rPr>
          <w:rFonts w:ascii="Arial" w:hAnsi="Arial" w:cs="Arial"/>
          <w:sz w:val="20"/>
          <w:szCs w:val="20"/>
        </w:rPr>
        <w:fldChar w:fldCharType="begin">
          <w:fldData xml:space="preserve">PEVuZE5vdGU+PENpdGU+PEF1dGhvcj5GREE8L0F1dGhvcj48WWVhcj5NYXkgMjAxOTwvWWVhcj48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</w:fldData>
        </w:fldChar>
      </w:r>
      <w:r w:rsidR="00BD7ADE" w:rsidRPr="00710955">
        <w:rPr>
          <w:rFonts w:ascii="Arial" w:hAnsi="Arial" w:cs="Arial"/>
          <w:sz w:val="20"/>
          <w:szCs w:val="20"/>
        </w:rPr>
        <w:instrText xml:space="preserve"> ADDIN EN.CITE.DATA </w:instrText>
      </w:r>
      <w:r w:rsidR="00BD7ADE" w:rsidRPr="00710955">
        <w:rPr>
          <w:rFonts w:ascii="Arial" w:hAnsi="Arial" w:cs="Arial"/>
          <w:sz w:val="20"/>
          <w:szCs w:val="20"/>
        </w:rPr>
      </w:r>
      <w:r w:rsidR="00BD7ADE" w:rsidRPr="00710955">
        <w:rPr>
          <w:rFonts w:ascii="Arial" w:hAnsi="Arial" w:cs="Arial"/>
          <w:sz w:val="20"/>
          <w:szCs w:val="20"/>
        </w:rPr>
        <w:fldChar w:fldCharType="end"/>
      </w:r>
      <w:r w:rsidR="00BD7ADE" w:rsidRPr="00710955">
        <w:rPr>
          <w:rFonts w:ascii="Arial" w:hAnsi="Arial" w:cs="Arial"/>
          <w:sz w:val="20"/>
          <w:szCs w:val="20"/>
        </w:rPr>
      </w:r>
      <w:r w:rsidR="00BD7ADE" w:rsidRPr="00710955">
        <w:rPr>
          <w:rFonts w:ascii="Arial" w:hAnsi="Arial" w:cs="Arial"/>
          <w:sz w:val="20"/>
          <w:szCs w:val="20"/>
        </w:rPr>
        <w:fldChar w:fldCharType="separate"/>
      </w:r>
      <w:r w:rsidR="00BD7ADE" w:rsidRPr="00710955">
        <w:rPr>
          <w:rFonts w:ascii="Arial" w:hAnsi="Arial" w:cs="Arial"/>
          <w:noProof/>
          <w:sz w:val="20"/>
          <w:szCs w:val="20"/>
          <w:vertAlign w:val="superscript"/>
        </w:rPr>
        <w:t>7,8</w:t>
      </w:r>
      <w:r w:rsidR="00BD7ADE" w:rsidRPr="00710955">
        <w:rPr>
          <w:rFonts w:ascii="Arial" w:hAnsi="Arial" w:cs="Arial"/>
          <w:sz w:val="20"/>
          <w:szCs w:val="20"/>
        </w:rPr>
        <w:fldChar w:fldCharType="end"/>
      </w:r>
    </w:p>
    <w:p w14:paraId="14EC7348" w14:textId="5CF0E631" w:rsidR="0063590B" w:rsidRPr="001F72A1" w:rsidRDefault="009E304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>Cytomegalovirus (</w:t>
      </w:r>
      <w:r w:rsidR="00BD7ADE" w:rsidRPr="0063590B">
        <w:rPr>
          <w:rFonts w:ascii="Arial" w:hAnsi="Arial" w:cs="Arial"/>
          <w:sz w:val="20"/>
          <w:szCs w:val="20"/>
        </w:rPr>
        <w:t>CMV</w:t>
      </w:r>
      <w:r w:rsidRPr="0063590B">
        <w:rPr>
          <w:rFonts w:ascii="Arial" w:hAnsi="Arial" w:cs="Arial"/>
          <w:sz w:val="20"/>
          <w:szCs w:val="20"/>
        </w:rPr>
        <w:t>)</w:t>
      </w:r>
      <w:r w:rsidR="00BD7ADE" w:rsidRPr="0063590B">
        <w:rPr>
          <w:rFonts w:ascii="Arial" w:hAnsi="Arial" w:cs="Arial"/>
          <w:sz w:val="20"/>
          <w:szCs w:val="20"/>
        </w:rPr>
        <w:t xml:space="preserve">: </w:t>
      </w:r>
      <w:r w:rsidR="006907E2" w:rsidRPr="0063590B">
        <w:rPr>
          <w:rFonts w:ascii="Arial" w:hAnsi="Arial" w:cs="Arial"/>
          <w:sz w:val="20"/>
          <w:szCs w:val="20"/>
        </w:rPr>
        <w:t>Pathogen reduction inactivates</w:t>
      </w:r>
      <w:r w:rsidR="00BD7ADE" w:rsidRPr="0063590B">
        <w:rPr>
          <w:rFonts w:ascii="Arial" w:hAnsi="Arial" w:cs="Arial"/>
          <w:sz w:val="20"/>
          <w:szCs w:val="20"/>
        </w:rPr>
        <w:t xml:space="preserve"> CMV and is a proactive approach to </w:t>
      </w:r>
      <w:r w:rsidR="00C41EEB" w:rsidRPr="0063590B">
        <w:rPr>
          <w:rFonts w:ascii="Arial" w:hAnsi="Arial" w:cs="Arial"/>
          <w:sz w:val="20"/>
          <w:szCs w:val="20"/>
        </w:rPr>
        <w:t xml:space="preserve">reducing </w:t>
      </w:r>
      <w:r w:rsidR="00C844AF" w:rsidRPr="0063590B">
        <w:rPr>
          <w:rFonts w:ascii="Arial" w:hAnsi="Arial" w:cs="Arial"/>
          <w:sz w:val="20"/>
          <w:szCs w:val="20"/>
        </w:rPr>
        <w:t xml:space="preserve">the </w:t>
      </w:r>
      <w:r w:rsidR="00C41EEB" w:rsidRPr="0063590B">
        <w:rPr>
          <w:rFonts w:ascii="Arial" w:hAnsi="Arial" w:cs="Arial"/>
          <w:sz w:val="20"/>
          <w:szCs w:val="20"/>
        </w:rPr>
        <w:t xml:space="preserve">risk of </w:t>
      </w:r>
      <w:r w:rsidR="00BD7ADE" w:rsidRPr="0063590B">
        <w:rPr>
          <w:rFonts w:ascii="Arial" w:hAnsi="Arial" w:cs="Arial"/>
          <w:sz w:val="20"/>
          <w:szCs w:val="20"/>
        </w:rPr>
        <w:t>CMV transmission.</w:t>
      </w:r>
      <w:r w:rsidR="00BD7ADE" w:rsidRPr="0063590B">
        <w:rPr>
          <w:rFonts w:ascii="Arial" w:hAnsi="Arial" w:cs="Arial"/>
          <w:sz w:val="20"/>
          <w:szCs w:val="20"/>
        </w:rPr>
        <w:fldChar w:fldCharType="begin"/>
      </w:r>
      <w:r w:rsidR="00BD7ADE" w:rsidRPr="0063590B">
        <w:rPr>
          <w:rFonts w:ascii="Arial" w:hAnsi="Arial" w:cs="Arial"/>
          <w:sz w:val="20"/>
          <w:szCs w:val="20"/>
        </w:rPr>
        <w:instrText xml:space="preserve"> ADDIN EN.CITE &lt;EndNote&gt;&lt;Cite&gt;&lt;Year&gt;July 17, 2018&lt;/Year&gt;&lt;RecNum&gt;821&lt;/RecNum&gt;&lt;DisplayText&gt;&lt;style face="superscript"&gt;6&lt;/style&gt;&lt;/DisplayText&gt;&lt;record&gt;&lt;rec-number&gt;821&lt;/rec-number&gt;&lt;foreign-keys&gt;&lt;key app="EN" db-id="9d250z9pa9v0f1evta4x9v0ispfp2pr0tf0w" timestamp="0"&gt;821&lt;/key&gt;&lt;/foreign-keys&gt;&lt;ref-type name="Generic"&gt;13&lt;/ref-type&gt;&lt;contributors&gt;&lt;/contributors&gt;&lt;titles&gt;&lt;title&gt;INTERCEPT Blood System for Platelets [Package Insert]&lt;/title&gt;&lt;/titles&gt;&lt;dates&gt;&lt;year&gt;July 17, 2018&lt;/year&gt;&lt;/dates&gt;&lt;pub-location&gt;Concord, CA&lt;/pub-location&gt;&lt;publisher&gt;Cerus Corporation&lt;/publisher&gt;&lt;urls&gt;&lt;related-urls&gt;&lt;url&gt;&lt;style face="underline" font="default" size="100%"&gt;http://www.intercept-usa.com/images/resources/files/INTERCEPT_Blood_System_Platelet_Package_Insert.pdf&lt;/style&gt;&lt;/url&gt;&lt;/related-urls&gt;&lt;/urls&gt;&lt;/record&gt;&lt;/Cite&gt;&lt;/EndNote&gt;</w:instrText>
      </w:r>
      <w:r w:rsidR="00BD7ADE" w:rsidRPr="0063590B">
        <w:rPr>
          <w:rFonts w:ascii="Arial" w:hAnsi="Arial" w:cs="Arial"/>
          <w:sz w:val="20"/>
          <w:szCs w:val="20"/>
        </w:rPr>
        <w:fldChar w:fldCharType="separate"/>
      </w:r>
      <w:r w:rsidR="00BD7ADE" w:rsidRPr="0063590B">
        <w:rPr>
          <w:rFonts w:ascii="Arial" w:hAnsi="Arial" w:cs="Arial"/>
          <w:noProof/>
          <w:sz w:val="20"/>
          <w:szCs w:val="20"/>
          <w:vertAlign w:val="superscript"/>
        </w:rPr>
        <w:t>6</w:t>
      </w:r>
      <w:r w:rsidR="00BD7ADE" w:rsidRPr="0063590B">
        <w:rPr>
          <w:rFonts w:ascii="Arial" w:hAnsi="Arial" w:cs="Arial"/>
          <w:sz w:val="20"/>
          <w:szCs w:val="20"/>
        </w:rPr>
        <w:fldChar w:fldCharType="end"/>
      </w:r>
      <w:r w:rsidR="00BD7ADE" w:rsidRPr="0063590B">
        <w:rPr>
          <w:rFonts w:ascii="Arial" w:hAnsi="Arial" w:cs="Arial"/>
          <w:sz w:val="20"/>
          <w:szCs w:val="20"/>
        </w:rPr>
        <w:t xml:space="preserve"> AABB </w:t>
      </w:r>
      <w:r w:rsidR="00BD7ADE" w:rsidRPr="001F72A1">
        <w:rPr>
          <w:rFonts w:ascii="Arial" w:hAnsi="Arial" w:cs="Arial"/>
          <w:sz w:val="20"/>
          <w:szCs w:val="20"/>
        </w:rPr>
        <w:t xml:space="preserve">Standard </w:t>
      </w:r>
      <w:r w:rsidR="00492E1C" w:rsidRPr="001F72A1">
        <w:rPr>
          <w:rFonts w:ascii="Arial" w:hAnsi="Arial" w:cs="Arial"/>
          <w:sz w:val="20"/>
          <w:szCs w:val="20"/>
        </w:rPr>
        <w:t>5.19.2</w:t>
      </w:r>
      <w:r w:rsidR="00BD7ADE" w:rsidRPr="001F72A1">
        <w:rPr>
          <w:rFonts w:ascii="Arial" w:hAnsi="Arial" w:cs="Arial"/>
          <w:sz w:val="20"/>
          <w:szCs w:val="20"/>
        </w:rPr>
        <w:t xml:space="preserve"> requires a policy to reduce CMV transmission risk</w:t>
      </w:r>
      <w:r w:rsidRPr="001F72A1">
        <w:rPr>
          <w:rFonts w:ascii="Arial" w:hAnsi="Arial" w:cs="Arial"/>
          <w:sz w:val="20"/>
          <w:szCs w:val="20"/>
        </w:rPr>
        <w:t>;</w:t>
      </w:r>
      <w:r w:rsidR="00F41C0C" w:rsidRPr="001F72A1">
        <w:rPr>
          <w:rFonts w:ascii="Arial" w:hAnsi="Arial" w:cs="Arial"/>
          <w:sz w:val="20"/>
          <w:szCs w:val="20"/>
        </w:rPr>
        <w:fldChar w:fldCharType="begin"/>
      </w:r>
      <w:r w:rsidR="00F41C0C" w:rsidRPr="001F72A1">
        <w:rPr>
          <w:rFonts w:ascii="Arial" w:hAnsi="Arial" w:cs="Arial"/>
          <w:sz w:val="20"/>
          <w:szCs w:val="20"/>
        </w:rPr>
        <w:instrText xml:space="preserve"> ADDIN EN.CITE &lt;EndNote&gt;&lt;Cite&gt;&lt;Author&gt;AABB&lt;/Author&gt;&lt;Year&gt;2018&lt;/Year&gt;&lt;RecNum&gt;5603&lt;/RecNum&gt;&lt;DisplayText&gt;&lt;style face="superscript"&gt;9&lt;/style&gt;&lt;/DisplayText&gt;&lt;record&gt;&lt;rec-number&gt;5603&lt;/rec-number&gt;&lt;foreign-keys&gt;&lt;key app="EN" db-id="9d250z9pa9v0f1evta4x9v0ispfp2pr0tf0w" timestamp="0"&gt;5603&lt;/key&gt;&lt;/foreign-keys&gt;&lt;ref-type name="Generic"&gt;13&lt;/ref-type&gt;&lt;contributors&gt;&lt;authors&gt;&lt;author&gt;AABB&lt;/author&gt;&lt;/authors&gt;&lt;/contributors&gt;&lt;titles&gt;&lt;title&gt;Standards for Blood Banks and Transfusion Services 31th Edition&lt;/title&gt;&lt;/titles&gt;&lt;dates&gt;&lt;year&gt;2018&lt;/year&gt;&lt;pub-dates&gt;&lt;date&gt;April 1, 2018&lt;/date&gt;&lt;/pub-dates&gt;&lt;/dates&gt;&lt;pub-location&gt;Bethesda, MD&lt;/pub-location&gt;&lt;publisher&gt;AABB&lt;/publisher&gt;&lt;isbn&gt;ISBN 9781563959585&lt;/isbn&gt;&lt;urls&gt;&lt;/urls&gt;&lt;/record&gt;&lt;/Cite&gt;&lt;/EndNote&gt;</w:instrText>
      </w:r>
      <w:r w:rsidR="00F41C0C" w:rsidRPr="001F72A1">
        <w:rPr>
          <w:rFonts w:ascii="Arial" w:hAnsi="Arial" w:cs="Arial"/>
          <w:sz w:val="20"/>
          <w:szCs w:val="20"/>
        </w:rPr>
        <w:fldChar w:fldCharType="separate"/>
      </w:r>
      <w:r w:rsidR="00F41C0C" w:rsidRPr="001F72A1">
        <w:rPr>
          <w:rFonts w:ascii="Arial" w:hAnsi="Arial" w:cs="Arial"/>
          <w:noProof/>
          <w:sz w:val="20"/>
          <w:szCs w:val="20"/>
          <w:vertAlign w:val="superscript"/>
        </w:rPr>
        <w:t>9</w:t>
      </w:r>
      <w:r w:rsidR="00F41C0C" w:rsidRPr="001F72A1">
        <w:rPr>
          <w:rFonts w:ascii="Arial" w:hAnsi="Arial" w:cs="Arial"/>
          <w:sz w:val="20"/>
          <w:szCs w:val="20"/>
        </w:rPr>
        <w:fldChar w:fldCharType="end"/>
      </w:r>
      <w:r w:rsidRPr="001F72A1">
        <w:rPr>
          <w:rFonts w:ascii="Arial" w:hAnsi="Arial" w:cs="Arial"/>
          <w:sz w:val="20"/>
          <w:szCs w:val="20"/>
        </w:rPr>
        <w:t xml:space="preserve"> </w:t>
      </w:r>
      <w:r w:rsidR="006907E2" w:rsidRPr="001F72A1">
        <w:rPr>
          <w:rFonts w:ascii="Arial" w:hAnsi="Arial" w:cs="Arial"/>
          <w:sz w:val="20"/>
          <w:szCs w:val="20"/>
        </w:rPr>
        <w:t xml:space="preserve">pathogen reduction by </w:t>
      </w:r>
      <w:r w:rsidR="00BD7ADE" w:rsidRPr="001F72A1">
        <w:rPr>
          <w:rFonts w:ascii="Arial" w:hAnsi="Arial" w:cs="Arial"/>
          <w:sz w:val="20"/>
          <w:szCs w:val="20"/>
        </w:rPr>
        <w:t xml:space="preserve">INTERCEPT treatment meets this requirement. </w:t>
      </w:r>
    </w:p>
    <w:p w14:paraId="5DDE41E1" w14:textId="40BC5A99" w:rsidR="00BD7ADE" w:rsidRPr="001F72A1" w:rsidRDefault="00BD7ADE" w:rsidP="0063590B">
      <w:pPr>
        <w:pStyle w:val="ListParagraph"/>
        <w:numPr>
          <w:ilvl w:val="1"/>
          <w:numId w:val="7"/>
        </w:numPr>
        <w:spacing w:after="120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1F72A1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Platelets that have been INTERCEPT treated do not require additional CMV serology</w:t>
      </w:r>
    </w:p>
    <w:p w14:paraId="678B8FE8" w14:textId="71FEE302" w:rsidR="00253E37" w:rsidRPr="0063590B" w:rsidRDefault="00BD7ADE" w:rsidP="009E304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1F72A1">
        <w:rPr>
          <w:rFonts w:ascii="Arial" w:hAnsi="Arial" w:cs="Arial"/>
          <w:sz w:val="20"/>
          <w:szCs w:val="20"/>
        </w:rPr>
        <w:t>Leukocytes (T-cells): INTERCEPT treatment is an FDA approved alternative to gamma irradiation for the prevention of transfusion-associated graft-versus-host disease (TA-GVHD).</w:t>
      </w:r>
      <w:r w:rsidR="00F41C0C" w:rsidRPr="00F41C0C">
        <w:rPr>
          <w:rFonts w:ascii="Arial" w:hAnsi="Arial" w:cs="Arial"/>
          <w:sz w:val="20"/>
          <w:szCs w:val="20"/>
          <w:vertAlign w:val="superscript"/>
        </w:rPr>
        <w:t>6</w:t>
      </w:r>
      <w:r w:rsidRPr="001F72A1">
        <w:rPr>
          <w:rFonts w:ascii="Arial" w:hAnsi="Arial" w:cs="Arial"/>
          <w:sz w:val="20"/>
          <w:szCs w:val="20"/>
        </w:rPr>
        <w:t xml:space="preserve"> AABB standard 5.19.</w:t>
      </w:r>
      <w:r w:rsidR="00633803" w:rsidRPr="001F72A1">
        <w:rPr>
          <w:rFonts w:ascii="Arial" w:hAnsi="Arial" w:cs="Arial"/>
          <w:sz w:val="20"/>
          <w:szCs w:val="20"/>
        </w:rPr>
        <w:t>4</w:t>
      </w:r>
      <w:r w:rsidRPr="001F72A1">
        <w:rPr>
          <w:rFonts w:ascii="Arial" w:hAnsi="Arial" w:cs="Arial"/>
          <w:sz w:val="20"/>
          <w:szCs w:val="20"/>
        </w:rPr>
        <w:t>.1 also</w:t>
      </w:r>
      <w:r w:rsidRPr="0063590B">
        <w:rPr>
          <w:rFonts w:ascii="Arial" w:hAnsi="Arial" w:cs="Arial"/>
          <w:sz w:val="20"/>
          <w:szCs w:val="20"/>
        </w:rPr>
        <w:t xml:space="preserve"> considers pathogen reduction (i.e. INTERCEPT treatment) </w:t>
      </w:r>
      <w:r w:rsidR="009E304E" w:rsidRPr="0063590B">
        <w:rPr>
          <w:rFonts w:ascii="Arial" w:hAnsi="Arial" w:cs="Arial"/>
          <w:sz w:val="20"/>
          <w:szCs w:val="20"/>
        </w:rPr>
        <w:t>a</w:t>
      </w:r>
      <w:r w:rsidRPr="0063590B">
        <w:rPr>
          <w:rFonts w:ascii="Arial" w:hAnsi="Arial" w:cs="Arial"/>
          <w:sz w:val="20"/>
          <w:szCs w:val="20"/>
        </w:rPr>
        <w:t xml:space="preserve"> method to prevent TA-GVHD</w:t>
      </w:r>
      <w:r w:rsidR="003D75DD" w:rsidRPr="0063590B">
        <w:rPr>
          <w:rFonts w:ascii="Arial" w:hAnsi="Arial" w:cs="Arial"/>
          <w:sz w:val="20"/>
          <w:szCs w:val="20"/>
        </w:rPr>
        <w:t>.</w:t>
      </w:r>
      <w:r w:rsidR="00F41C0C">
        <w:rPr>
          <w:rFonts w:ascii="Arial" w:hAnsi="Arial" w:cs="Arial"/>
          <w:sz w:val="20"/>
          <w:szCs w:val="20"/>
          <w:vertAlign w:val="superscript"/>
        </w:rPr>
        <w:t>9</w:t>
      </w:r>
      <w:r w:rsidR="003D75DD" w:rsidRPr="0063590B">
        <w:rPr>
          <w:rFonts w:ascii="Arial" w:hAnsi="Arial" w:cs="Arial"/>
          <w:sz w:val="20"/>
          <w:szCs w:val="20"/>
        </w:rPr>
        <w:t xml:space="preserve"> </w:t>
      </w:r>
    </w:p>
    <w:p w14:paraId="32922AD5" w14:textId="42674C13" w:rsidR="00BD7ADE" w:rsidRPr="0063590B" w:rsidRDefault="00BD7ADE" w:rsidP="0063590B">
      <w:pPr>
        <w:pStyle w:val="ListParagraph"/>
        <w:numPr>
          <w:ilvl w:val="1"/>
          <w:numId w:val="7"/>
        </w:numPr>
        <w:spacing w:after="120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Platelets that have been INTERCEPT treated do not</w:t>
      </w:r>
      <w:r w:rsidRPr="0063590B">
        <w:rPr>
          <w:rFonts w:ascii="Arial" w:hAnsi="Arial" w:cs="Arial"/>
          <w:b/>
          <w:i/>
          <w:sz w:val="20"/>
          <w:szCs w:val="20"/>
          <w:u w:val="single"/>
        </w:rPr>
        <w:t xml:space="preserve"> need to be irradiated</w:t>
      </w:r>
      <w:r w:rsidRPr="0063590B">
        <w:rPr>
          <w:rFonts w:ascii="Arial" w:hAnsi="Arial" w:cs="Arial"/>
          <w:sz w:val="20"/>
          <w:szCs w:val="20"/>
        </w:rPr>
        <w:t xml:space="preserve">. </w:t>
      </w:r>
    </w:p>
    <w:p w14:paraId="2C81FBE8" w14:textId="77777777" w:rsidR="00BD7ADE" w:rsidRPr="0063590B" w:rsidRDefault="00BD7ADE" w:rsidP="00BD7ADE">
      <w:pPr>
        <w:spacing w:after="240" w:line="240" w:lineRule="auto"/>
        <w:rPr>
          <w:rFonts w:ascii="Arial" w:hAnsi="Arial" w:cs="Arial"/>
          <w:b/>
          <w:sz w:val="20"/>
          <w:szCs w:val="20"/>
        </w:rPr>
      </w:pPr>
      <w:r w:rsidRPr="0063590B">
        <w:rPr>
          <w:rFonts w:ascii="Arial" w:hAnsi="Arial" w:cs="Arial"/>
          <w:b/>
          <w:sz w:val="20"/>
          <w:szCs w:val="20"/>
          <w:u w:val="single"/>
        </w:rPr>
        <w:t>PSORALEN TREATMENT</w:t>
      </w:r>
      <w:r w:rsidRPr="0063590B">
        <w:rPr>
          <w:rFonts w:ascii="Arial" w:hAnsi="Arial" w:cs="Arial"/>
          <w:b/>
          <w:sz w:val="20"/>
          <w:szCs w:val="20"/>
        </w:rPr>
        <w:t xml:space="preserve"> or PATHOGEN REDUCTION-History of Development and Routine Use</w:t>
      </w:r>
    </w:p>
    <w:p w14:paraId="11A9B48C" w14:textId="512FEE8D" w:rsidR="00BD7ADE" w:rsidRPr="0063590B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 xml:space="preserve">Products like albumin, IVIG and others derived from </w:t>
      </w:r>
      <w:r w:rsidR="000635D8" w:rsidRPr="0063590B">
        <w:rPr>
          <w:rFonts w:ascii="Arial" w:hAnsi="Arial" w:cs="Arial"/>
          <w:sz w:val="20"/>
          <w:szCs w:val="20"/>
        </w:rPr>
        <w:t xml:space="preserve">source </w:t>
      </w:r>
      <w:r w:rsidRPr="0063590B">
        <w:rPr>
          <w:rFonts w:ascii="Arial" w:hAnsi="Arial" w:cs="Arial"/>
          <w:sz w:val="20"/>
          <w:szCs w:val="20"/>
        </w:rPr>
        <w:t>plasma</w:t>
      </w:r>
      <w:r w:rsidR="000635D8" w:rsidRPr="0063590B">
        <w:rPr>
          <w:rFonts w:ascii="Arial" w:hAnsi="Arial" w:cs="Arial"/>
          <w:sz w:val="20"/>
          <w:szCs w:val="20"/>
        </w:rPr>
        <w:t>,</w:t>
      </w:r>
      <w:r w:rsidRPr="0063590B">
        <w:rPr>
          <w:rFonts w:ascii="Arial" w:hAnsi="Arial" w:cs="Arial"/>
          <w:sz w:val="20"/>
          <w:szCs w:val="20"/>
        </w:rPr>
        <w:t xml:space="preserve"> such as blood clotting factors used to treat hemophilia</w:t>
      </w:r>
      <w:r w:rsidR="000635D8" w:rsidRPr="0063590B">
        <w:rPr>
          <w:rFonts w:ascii="Arial" w:hAnsi="Arial" w:cs="Arial"/>
          <w:sz w:val="20"/>
          <w:szCs w:val="20"/>
        </w:rPr>
        <w:t>,</w:t>
      </w:r>
      <w:r w:rsidRPr="0063590B">
        <w:rPr>
          <w:rFonts w:ascii="Arial" w:hAnsi="Arial" w:cs="Arial"/>
          <w:sz w:val="20"/>
          <w:szCs w:val="20"/>
        </w:rPr>
        <w:t xml:space="preserve"> also undergo a form of pathogen reduction when they are manufactured from human plasma donations to minimize risk to the patients receiving these products.  </w:t>
      </w:r>
    </w:p>
    <w:p w14:paraId="36801A5A" w14:textId="4DE67263" w:rsidR="00BD7ADE" w:rsidRPr="00C974BD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 xml:space="preserve">Extensive European hemovigilance programs include data on </w:t>
      </w:r>
      <w:r w:rsidR="00C86786" w:rsidRPr="0063590B">
        <w:rPr>
          <w:rFonts w:ascii="Arial" w:hAnsi="Arial" w:cs="Arial"/>
          <w:sz w:val="20"/>
          <w:szCs w:val="20"/>
        </w:rPr>
        <w:t xml:space="preserve">psoralen treated </w:t>
      </w:r>
      <w:r w:rsidRPr="0063590B">
        <w:rPr>
          <w:rFonts w:ascii="Arial" w:hAnsi="Arial" w:cs="Arial"/>
          <w:sz w:val="20"/>
          <w:szCs w:val="20"/>
        </w:rPr>
        <w:t xml:space="preserve">platelets transfused </w:t>
      </w:r>
      <w:proofErr w:type="gramStart"/>
      <w:r w:rsidRPr="0063590B">
        <w:rPr>
          <w:rFonts w:ascii="Arial" w:hAnsi="Arial" w:cs="Arial"/>
          <w:sz w:val="20"/>
          <w:szCs w:val="20"/>
        </w:rPr>
        <w:t>in</w:t>
      </w:r>
      <w:proofErr w:type="gramEnd"/>
      <w:r w:rsidRPr="0063590B">
        <w:rPr>
          <w:rFonts w:ascii="Arial" w:hAnsi="Arial" w:cs="Arial"/>
          <w:sz w:val="20"/>
          <w:szCs w:val="20"/>
        </w:rPr>
        <w:t xml:space="preserve"> various patient populations</w:t>
      </w:r>
      <w:r w:rsidRPr="0063590B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63590B">
        <w:rPr>
          <w:rFonts w:ascii="Arial" w:hAnsi="Arial" w:cs="Arial"/>
          <w:sz w:val="20"/>
          <w:szCs w:val="20"/>
        </w:rPr>
        <w:t>across multiple age ranges including neonates, infants, children and adults across multiple disease states.</w:t>
      </w:r>
      <w:r w:rsidRPr="00C974BD">
        <w:rPr>
          <w:rFonts w:ascii="Arial" w:hAnsi="Arial" w:cs="Arial"/>
          <w:sz w:val="20"/>
          <w:szCs w:val="20"/>
        </w:rPr>
        <w:fldChar w:fldCharType="begin">
          <w:fldData xml:space="preserve">PEVuZE5vdGU+PENpdGU+PEF1dGhvcj5GcmVuY2ggTmF0aW9uYWwgQWdlbmN5IGZvciBNZWRpY2lu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</w:fldData>
        </w:fldChar>
      </w:r>
      <w:r w:rsidRPr="00C974BD">
        <w:rPr>
          <w:rFonts w:ascii="Arial" w:hAnsi="Arial" w:cs="Arial"/>
          <w:sz w:val="20"/>
          <w:szCs w:val="20"/>
        </w:rPr>
        <w:instrText xml:space="preserve"> ADDIN EN.CITE </w:instrText>
      </w:r>
      <w:r w:rsidRPr="00C974BD">
        <w:rPr>
          <w:rFonts w:ascii="Arial" w:hAnsi="Arial" w:cs="Arial"/>
          <w:sz w:val="20"/>
          <w:szCs w:val="20"/>
        </w:rPr>
        <w:fldChar w:fldCharType="begin">
          <w:fldData xml:space="preserve">PEVuZE5vdGU+PENpdGU+PEF1dGhvcj5GcmVuY2ggTmF0aW9uYWwgQWdlbmN5IGZvciBNZWRpY2lu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</w:fldData>
        </w:fldChar>
      </w:r>
      <w:r w:rsidRPr="00C974BD">
        <w:rPr>
          <w:rFonts w:ascii="Arial" w:hAnsi="Arial" w:cs="Arial"/>
          <w:sz w:val="20"/>
          <w:szCs w:val="20"/>
        </w:rPr>
        <w:instrText xml:space="preserve"> ADDIN EN.CITE.DATA </w:instrText>
      </w:r>
      <w:r w:rsidRPr="00C974BD">
        <w:rPr>
          <w:rFonts w:ascii="Arial" w:hAnsi="Arial" w:cs="Arial"/>
          <w:sz w:val="20"/>
          <w:szCs w:val="20"/>
        </w:rPr>
      </w:r>
      <w:r w:rsidRPr="00C974BD">
        <w:rPr>
          <w:rFonts w:ascii="Arial" w:hAnsi="Arial" w:cs="Arial"/>
          <w:sz w:val="20"/>
          <w:szCs w:val="20"/>
        </w:rPr>
        <w:fldChar w:fldCharType="end"/>
      </w:r>
      <w:r w:rsidRPr="00C974BD">
        <w:rPr>
          <w:rFonts w:ascii="Arial" w:hAnsi="Arial" w:cs="Arial"/>
          <w:sz w:val="20"/>
          <w:szCs w:val="20"/>
        </w:rPr>
      </w:r>
      <w:r w:rsidRPr="00C974BD">
        <w:rPr>
          <w:rFonts w:ascii="Arial" w:hAnsi="Arial" w:cs="Arial"/>
          <w:sz w:val="20"/>
          <w:szCs w:val="20"/>
        </w:rPr>
        <w:fldChar w:fldCharType="separate"/>
      </w:r>
      <w:r w:rsidRPr="00C974BD">
        <w:rPr>
          <w:rFonts w:ascii="Arial" w:hAnsi="Arial" w:cs="Arial"/>
          <w:noProof/>
          <w:sz w:val="20"/>
          <w:szCs w:val="20"/>
          <w:vertAlign w:val="superscript"/>
        </w:rPr>
        <w:t>5,10-12</w:t>
      </w:r>
      <w:r w:rsidRPr="00C974BD">
        <w:rPr>
          <w:rFonts w:ascii="Arial" w:hAnsi="Arial" w:cs="Arial"/>
          <w:sz w:val="20"/>
          <w:szCs w:val="20"/>
        </w:rPr>
        <w:fldChar w:fldCharType="end"/>
      </w:r>
    </w:p>
    <w:p w14:paraId="6B7FD113" w14:textId="47B9060A" w:rsidR="00BD7ADE" w:rsidRPr="00C974BD" w:rsidRDefault="00B52A2B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20+</w:t>
      </w:r>
      <w:r w:rsidR="00BD7ADE" w:rsidRPr="00C974BD">
        <w:rPr>
          <w:rFonts w:ascii="Arial" w:hAnsi="Arial" w:cs="Arial"/>
          <w:sz w:val="20"/>
          <w:szCs w:val="20"/>
        </w:rPr>
        <w:t xml:space="preserve"> years of routine use</w:t>
      </w:r>
      <w:r w:rsidR="00F41C0C">
        <w:rPr>
          <w:rFonts w:ascii="Arial" w:hAnsi="Arial" w:cs="Arial"/>
          <w:sz w:val="20"/>
          <w:szCs w:val="20"/>
        </w:rPr>
        <w:t xml:space="preserve"> worldwide</w:t>
      </w:r>
      <w:r w:rsidR="00BD7ADE" w:rsidRPr="00C974BD">
        <w:rPr>
          <w:rFonts w:ascii="Arial" w:hAnsi="Arial" w:cs="Arial"/>
          <w:sz w:val="20"/>
          <w:szCs w:val="20"/>
        </w:rPr>
        <w:t xml:space="preserve"> with </w:t>
      </w:r>
      <w:r w:rsidR="00633803" w:rsidRPr="00C974BD">
        <w:rPr>
          <w:rFonts w:ascii="Arial" w:hAnsi="Arial" w:cs="Arial"/>
          <w:sz w:val="20"/>
          <w:szCs w:val="20"/>
        </w:rPr>
        <w:t xml:space="preserve">greater than </w:t>
      </w:r>
      <w:r w:rsidR="00643760">
        <w:rPr>
          <w:rFonts w:ascii="Arial" w:hAnsi="Arial" w:cs="Arial"/>
          <w:sz w:val="20"/>
          <w:szCs w:val="20"/>
        </w:rPr>
        <w:t>18</w:t>
      </w:r>
      <w:r w:rsidR="00643760" w:rsidRPr="00C974BD">
        <w:rPr>
          <w:rFonts w:ascii="Arial" w:hAnsi="Arial" w:cs="Arial"/>
          <w:sz w:val="20"/>
          <w:szCs w:val="20"/>
        </w:rPr>
        <w:t xml:space="preserve"> </w:t>
      </w:r>
      <w:r w:rsidR="00BD7ADE" w:rsidRPr="00C974BD">
        <w:rPr>
          <w:rFonts w:ascii="Arial" w:hAnsi="Arial" w:cs="Arial"/>
          <w:sz w:val="20"/>
          <w:szCs w:val="20"/>
        </w:rPr>
        <w:t>million INTERCEPT</w:t>
      </w:r>
      <w:r w:rsidR="00BD7ADE" w:rsidRPr="00C974BD">
        <w:rPr>
          <w:rFonts w:ascii="Arial" w:hAnsi="Arial" w:cs="Arial"/>
          <w:sz w:val="20"/>
          <w:szCs w:val="20"/>
          <w:vertAlign w:val="superscript"/>
        </w:rPr>
        <w:t>®</w:t>
      </w:r>
      <w:r w:rsidR="00BD7ADE" w:rsidRPr="00C974BD">
        <w:rPr>
          <w:rFonts w:ascii="Arial" w:hAnsi="Arial" w:cs="Arial"/>
          <w:sz w:val="20"/>
          <w:szCs w:val="20"/>
        </w:rPr>
        <w:t xml:space="preserve"> Blood System </w:t>
      </w:r>
      <w:proofErr w:type="gramStart"/>
      <w:r w:rsidR="00BD7ADE" w:rsidRPr="00C974BD">
        <w:rPr>
          <w:rFonts w:ascii="Arial" w:hAnsi="Arial" w:cs="Arial"/>
          <w:sz w:val="20"/>
          <w:szCs w:val="20"/>
        </w:rPr>
        <w:t>platelet</w:t>
      </w:r>
      <w:proofErr w:type="gramEnd"/>
      <w:r w:rsidR="00BD7ADE" w:rsidRPr="00C974BD">
        <w:rPr>
          <w:rFonts w:ascii="Arial" w:hAnsi="Arial" w:cs="Arial"/>
          <w:sz w:val="20"/>
          <w:szCs w:val="20"/>
        </w:rPr>
        <w:t xml:space="preserve"> and plasma </w:t>
      </w:r>
      <w:r w:rsidR="00462AAE">
        <w:rPr>
          <w:rFonts w:ascii="Arial" w:hAnsi="Arial" w:cs="Arial"/>
          <w:sz w:val="20"/>
          <w:szCs w:val="20"/>
        </w:rPr>
        <w:t>transfusable doses</w:t>
      </w:r>
      <w:r w:rsidR="00BD7ADE" w:rsidRPr="00C974BD">
        <w:rPr>
          <w:rFonts w:ascii="Arial" w:hAnsi="Arial" w:cs="Arial"/>
          <w:sz w:val="20"/>
          <w:szCs w:val="20"/>
        </w:rPr>
        <w:t xml:space="preserve"> </w:t>
      </w:r>
      <w:r w:rsidR="00462AAE">
        <w:rPr>
          <w:rFonts w:ascii="Arial" w:hAnsi="Arial" w:cs="Arial"/>
          <w:sz w:val="20"/>
          <w:szCs w:val="20"/>
        </w:rPr>
        <w:t>(</w:t>
      </w:r>
      <w:r w:rsidR="00BD7ADE" w:rsidRPr="00C974BD">
        <w:rPr>
          <w:rFonts w:ascii="Arial" w:hAnsi="Arial" w:cs="Arial"/>
          <w:sz w:val="20"/>
          <w:szCs w:val="20"/>
        </w:rPr>
        <w:t xml:space="preserve">estimated </w:t>
      </w:r>
      <w:r w:rsidR="00462AAE">
        <w:rPr>
          <w:rFonts w:ascii="Arial" w:hAnsi="Arial" w:cs="Arial"/>
          <w:sz w:val="20"/>
          <w:szCs w:val="20"/>
        </w:rPr>
        <w:t>from number of kits sold)</w:t>
      </w:r>
      <w:r w:rsidR="00BD7ADE" w:rsidRPr="00C974BD">
        <w:rPr>
          <w:rFonts w:ascii="Arial" w:hAnsi="Arial" w:cs="Arial"/>
          <w:sz w:val="20"/>
          <w:szCs w:val="20"/>
        </w:rPr>
        <w:t>.</w:t>
      </w:r>
    </w:p>
    <w:p w14:paraId="2184B2B3" w14:textId="79D705DD" w:rsidR="00BD7ADE" w:rsidRPr="001F72A1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1F72A1">
        <w:rPr>
          <w:rFonts w:ascii="Arial" w:hAnsi="Arial" w:cs="Arial"/>
          <w:sz w:val="20"/>
          <w:szCs w:val="20"/>
        </w:rPr>
        <w:t xml:space="preserve">Extensive preclinical toxicology program was conducted per FDA product safety standards on the specific psoralen used to complete the psoralen/UVA light treatment pathogen reduction process. </w:t>
      </w:r>
    </w:p>
    <w:p w14:paraId="7AC84CF9" w14:textId="77777777" w:rsidR="00BD7ADE" w:rsidRPr="001F72A1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1F72A1">
        <w:rPr>
          <w:rFonts w:ascii="Arial" w:hAnsi="Arial" w:cs="Arial"/>
          <w:sz w:val="20"/>
          <w:szCs w:val="20"/>
        </w:rPr>
        <w:t>Robust clinical studies were conducted in the US showing effectiveness and safety.</w:t>
      </w:r>
      <w:r w:rsidRPr="001F72A1">
        <w:rPr>
          <w:rFonts w:ascii="Arial" w:hAnsi="Arial" w:cs="Arial"/>
          <w:sz w:val="20"/>
          <w:szCs w:val="20"/>
          <w:vertAlign w:val="superscript"/>
        </w:rPr>
        <w:fldChar w:fldCharType="begin"/>
      </w:r>
      <w:r w:rsidRPr="001F72A1">
        <w:rPr>
          <w:rFonts w:ascii="Arial" w:hAnsi="Arial" w:cs="Arial"/>
          <w:sz w:val="20"/>
          <w:szCs w:val="20"/>
          <w:vertAlign w:val="superscript"/>
        </w:rPr>
        <w:instrText xml:space="preserve"> ADDIN EN.CITE &lt;EndNote&gt;&lt;Cite&gt;&lt;Year&gt;July 17, 2018&lt;/Year&gt;&lt;RecNum&gt;821&lt;/RecNum&gt;&lt;DisplayText&gt;&lt;style face="superscript"&gt;6&lt;/style&gt;&lt;/DisplayText&gt;&lt;record&gt;&lt;rec-number&gt;821&lt;/rec-number&gt;&lt;foreign-keys&gt;&lt;key app="EN" db-id="9d250z9pa9v0f1evta4x9v0ispfp2pr0tf0w" timestamp="0"&gt;821&lt;/key&gt;&lt;/foreign-keys&gt;&lt;ref-type name="Generic"&gt;13&lt;/ref-type&gt;&lt;contributors&gt;&lt;/contributors&gt;&lt;titles&gt;&lt;title&gt;INTERCEPT Blood System for Platelets [Package Insert]&lt;/title&gt;&lt;/titles&gt;&lt;dates&gt;&lt;year&gt;July 17, 2018&lt;/year&gt;&lt;/dates&gt;&lt;pub-location&gt;Concord, CA&lt;/pub-location&gt;&lt;publisher&gt;Cerus Corporation&lt;/publisher&gt;&lt;urls&gt;&lt;related-urls&gt;&lt;url&gt;&lt;style face="underline" font="default" size="100%"&gt;http://www.intercept-usa.com/images/resources/files/INTERCEPT_Blood_System_Platelet_Package_Insert.pdf&lt;/style&gt;&lt;/url&gt;&lt;/related-urls&gt;&lt;/urls&gt;&lt;/record&gt;&lt;/Cite&gt;&lt;/EndNote&gt;</w:instrText>
      </w:r>
      <w:r w:rsidRPr="001F72A1">
        <w:rPr>
          <w:rFonts w:ascii="Arial" w:hAnsi="Arial" w:cs="Arial"/>
          <w:sz w:val="20"/>
          <w:szCs w:val="20"/>
          <w:vertAlign w:val="superscript"/>
        </w:rPr>
        <w:fldChar w:fldCharType="separate"/>
      </w:r>
      <w:r w:rsidRPr="001F72A1">
        <w:rPr>
          <w:rFonts w:ascii="Arial" w:hAnsi="Arial" w:cs="Arial"/>
          <w:sz w:val="20"/>
          <w:szCs w:val="20"/>
          <w:vertAlign w:val="superscript"/>
        </w:rPr>
        <w:t>6</w:t>
      </w:r>
      <w:r w:rsidRPr="001F72A1">
        <w:rPr>
          <w:rFonts w:ascii="Arial" w:hAnsi="Arial" w:cs="Arial"/>
          <w:sz w:val="20"/>
          <w:szCs w:val="20"/>
          <w:vertAlign w:val="superscript"/>
        </w:rPr>
        <w:fldChar w:fldCharType="end"/>
      </w:r>
    </w:p>
    <w:p w14:paraId="713DE563" w14:textId="59B5E508" w:rsidR="00BD7ADE" w:rsidRPr="0063590B" w:rsidRDefault="00253E37" w:rsidP="0079042B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 xml:space="preserve">INTERCEPT Blood System for </w:t>
      </w:r>
      <w:r w:rsidR="0079042B" w:rsidRPr="0063590B">
        <w:rPr>
          <w:rFonts w:ascii="Arial" w:hAnsi="Arial" w:cs="Arial"/>
          <w:sz w:val="20"/>
          <w:szCs w:val="20"/>
        </w:rPr>
        <w:t>P</w:t>
      </w:r>
      <w:r w:rsidRPr="0063590B">
        <w:rPr>
          <w:rFonts w:ascii="Arial" w:hAnsi="Arial" w:cs="Arial"/>
          <w:sz w:val="20"/>
          <w:szCs w:val="20"/>
        </w:rPr>
        <w:t>latelets was approved by the FDA in December 2014 and psoralen treated platelets are in</w:t>
      </w:r>
      <w:r w:rsidRPr="0063590B" w:rsidDel="00253E37">
        <w:rPr>
          <w:rFonts w:ascii="Arial" w:hAnsi="Arial" w:cs="Arial"/>
          <w:sz w:val="20"/>
          <w:szCs w:val="20"/>
        </w:rPr>
        <w:t xml:space="preserve"> </w:t>
      </w:r>
      <w:r w:rsidR="00BD7ADE" w:rsidRPr="0063590B">
        <w:rPr>
          <w:rFonts w:ascii="Arial" w:hAnsi="Arial" w:cs="Arial"/>
          <w:sz w:val="20"/>
          <w:szCs w:val="20"/>
        </w:rPr>
        <w:t xml:space="preserve">routine use in multiple US hospitals, including academic medical centers and specialty hospitals. </w:t>
      </w:r>
    </w:p>
    <w:p w14:paraId="6E960DC2" w14:textId="77777777" w:rsidR="00BD7ADE" w:rsidRPr="0063590B" w:rsidRDefault="00BD7ADE" w:rsidP="00BD7ADE">
      <w:pPr>
        <w:spacing w:after="240" w:line="240" w:lineRule="auto"/>
        <w:ind w:left="720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1DE484A8" wp14:editId="009FC5DD">
            <wp:simplePos x="0" y="0"/>
            <wp:positionH relativeFrom="margin">
              <wp:posOffset>435555</wp:posOffset>
            </wp:positionH>
            <wp:positionV relativeFrom="paragraph">
              <wp:posOffset>-2319</wp:posOffset>
            </wp:positionV>
            <wp:extent cx="5008880" cy="3962400"/>
            <wp:effectExtent l="0" t="0" r="1270" b="0"/>
            <wp:wrapTopAndBottom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ERCEPT and conventional bags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90B">
        <w:rPr>
          <w:rFonts w:ascii="Arial" w:hAnsi="Arial" w:cs="Arial"/>
          <w:b/>
          <w:sz w:val="20"/>
          <w:szCs w:val="20"/>
        </w:rPr>
        <w:t xml:space="preserve">        CONVENTIONAL PLATELET          PSORALEN-TREATED PLATELET</w:t>
      </w:r>
    </w:p>
    <w:p w14:paraId="0D9AC2FE" w14:textId="77777777" w:rsidR="00BD7ADE" w:rsidRPr="0063590B" w:rsidRDefault="00BD7ADE" w:rsidP="00BD7ADE">
      <w:pPr>
        <w:spacing w:after="240" w:line="240" w:lineRule="auto"/>
        <w:rPr>
          <w:rFonts w:ascii="Arial" w:hAnsi="Arial" w:cs="Arial"/>
          <w:b/>
          <w:sz w:val="20"/>
          <w:szCs w:val="20"/>
        </w:rPr>
      </w:pPr>
    </w:p>
    <w:p w14:paraId="053732F7" w14:textId="77777777" w:rsidR="00BD7ADE" w:rsidRPr="0063590B" w:rsidRDefault="00BD7ADE" w:rsidP="00BD7ADE">
      <w:pPr>
        <w:spacing w:after="240" w:line="240" w:lineRule="auto"/>
        <w:rPr>
          <w:rFonts w:ascii="Arial" w:hAnsi="Arial" w:cs="Arial"/>
          <w:b/>
          <w:sz w:val="20"/>
          <w:szCs w:val="20"/>
        </w:rPr>
      </w:pPr>
      <w:r w:rsidRPr="0063590B">
        <w:rPr>
          <w:rFonts w:ascii="Arial" w:hAnsi="Arial" w:cs="Arial"/>
          <w:b/>
          <w:sz w:val="20"/>
          <w:szCs w:val="20"/>
        </w:rPr>
        <w:t>PSORALEN TREATED PLATELET ADMINISTRATION</w:t>
      </w:r>
    </w:p>
    <w:p w14:paraId="31AAD30C" w14:textId="77777777" w:rsidR="00BD7ADE" w:rsidRPr="0063590B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i/>
          <w:sz w:val="20"/>
          <w:szCs w:val="20"/>
          <w:u w:val="single"/>
        </w:rPr>
      </w:pPr>
      <w:r w:rsidRPr="0063590B">
        <w:rPr>
          <w:rFonts w:ascii="Arial" w:hAnsi="Arial" w:cs="Arial"/>
          <w:sz w:val="20"/>
          <w:szCs w:val="20"/>
        </w:rPr>
        <w:t xml:space="preserve">Platelet dosing and volume of the new psoralen-treated platelets </w:t>
      </w:r>
      <w:proofErr w:type="gramStart"/>
      <w:r w:rsidRPr="0063590B">
        <w:rPr>
          <w:rFonts w:ascii="Arial" w:hAnsi="Arial" w:cs="Arial"/>
          <w:sz w:val="20"/>
          <w:szCs w:val="20"/>
        </w:rPr>
        <w:t>is</w:t>
      </w:r>
      <w:proofErr w:type="gramEnd"/>
      <w:r w:rsidRPr="0063590B">
        <w:rPr>
          <w:rFonts w:ascii="Arial" w:hAnsi="Arial" w:cs="Arial"/>
          <w:sz w:val="20"/>
          <w:szCs w:val="20"/>
        </w:rPr>
        <w:t xml:space="preserve"> the </w:t>
      </w:r>
      <w:r w:rsidRPr="0063590B">
        <w:rPr>
          <w:rFonts w:ascii="Arial" w:hAnsi="Arial" w:cs="Arial"/>
          <w:i/>
          <w:sz w:val="20"/>
          <w:szCs w:val="20"/>
          <w:u w:val="single"/>
        </w:rPr>
        <w:t>same as conventional platelet products.</w:t>
      </w:r>
    </w:p>
    <w:p w14:paraId="016F385F" w14:textId="77777777" w:rsidR="00BD7ADE" w:rsidRPr="0063590B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i/>
          <w:sz w:val="20"/>
          <w:szCs w:val="20"/>
          <w:u w:val="single"/>
        </w:rPr>
      </w:pPr>
      <w:r w:rsidRPr="0063590B">
        <w:rPr>
          <w:rFonts w:ascii="Arial" w:hAnsi="Arial" w:cs="Arial"/>
          <w:sz w:val="20"/>
          <w:szCs w:val="20"/>
        </w:rPr>
        <w:t xml:space="preserve">Pre-medication and hang time for psoralen-treated platelets are the </w:t>
      </w:r>
      <w:r w:rsidRPr="0063590B">
        <w:rPr>
          <w:rFonts w:ascii="Arial" w:hAnsi="Arial" w:cs="Arial"/>
          <w:i/>
          <w:sz w:val="20"/>
          <w:szCs w:val="20"/>
          <w:u w:val="single"/>
        </w:rPr>
        <w:t>same as conventional platelet products.</w:t>
      </w:r>
    </w:p>
    <w:p w14:paraId="22D25327" w14:textId="77777777" w:rsidR="00BD7ADE" w:rsidRPr="0063590B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 xml:space="preserve">Patients may receive </w:t>
      </w:r>
      <w:r w:rsidRPr="0063590B">
        <w:rPr>
          <w:rFonts w:ascii="Arial" w:hAnsi="Arial" w:cs="Arial"/>
          <w:i/>
          <w:sz w:val="20"/>
          <w:szCs w:val="20"/>
          <w:u w:val="single"/>
        </w:rPr>
        <w:t>both conventional platelets and psoralen treated platelets</w:t>
      </w:r>
      <w:r w:rsidRPr="0063590B">
        <w:rPr>
          <w:rFonts w:ascii="Arial" w:hAnsi="Arial" w:cs="Arial"/>
          <w:sz w:val="20"/>
          <w:szCs w:val="20"/>
        </w:rPr>
        <w:t xml:space="preserve"> to fill their transfusion requirements. </w:t>
      </w:r>
    </w:p>
    <w:p w14:paraId="79CCD34F" w14:textId="77777777" w:rsidR="00BD7ADE" w:rsidRPr="0063590B" w:rsidRDefault="00BD7ADE" w:rsidP="00BD7ADE">
      <w:pPr>
        <w:pStyle w:val="ListParagraph"/>
        <w:numPr>
          <w:ilvl w:val="1"/>
          <w:numId w:val="7"/>
        </w:numPr>
        <w:spacing w:after="24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>Psoralen treated platelets can be hung in the same line as conventional platelets provided the tubing has not expired.</w:t>
      </w:r>
    </w:p>
    <w:p w14:paraId="41D388BB" w14:textId="77777777" w:rsidR="00BD7ADE" w:rsidRPr="0063590B" w:rsidRDefault="00BD7ADE" w:rsidP="00BD7ADE">
      <w:pPr>
        <w:spacing w:after="240" w:line="240" w:lineRule="auto"/>
        <w:rPr>
          <w:rFonts w:ascii="Arial" w:hAnsi="Arial" w:cs="Arial"/>
          <w:b/>
          <w:sz w:val="20"/>
          <w:szCs w:val="20"/>
        </w:rPr>
      </w:pPr>
      <w:r w:rsidRPr="0063590B">
        <w:rPr>
          <w:rFonts w:ascii="Arial" w:hAnsi="Arial" w:cs="Arial"/>
          <w:b/>
          <w:sz w:val="20"/>
          <w:szCs w:val="20"/>
        </w:rPr>
        <w:t>PSORALEN-TREATED PLATELET BAG APPEARANCE</w:t>
      </w:r>
    </w:p>
    <w:p w14:paraId="6B3135F0" w14:textId="5A26A6D1" w:rsidR="00BD7ADE" w:rsidRPr="0063590B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 xml:space="preserve">The psoralen-treated platelet bags are 2.8 inches longer than conventional platelet </w:t>
      </w:r>
      <w:r w:rsidR="000635D8" w:rsidRPr="0063590B">
        <w:rPr>
          <w:rFonts w:ascii="Arial" w:hAnsi="Arial" w:cs="Arial"/>
          <w:sz w:val="20"/>
          <w:szCs w:val="20"/>
        </w:rPr>
        <w:t>bags</w:t>
      </w:r>
      <w:r w:rsidRPr="0063590B">
        <w:rPr>
          <w:rFonts w:ascii="Arial" w:hAnsi="Arial" w:cs="Arial"/>
          <w:sz w:val="20"/>
          <w:szCs w:val="20"/>
        </w:rPr>
        <w:t>.</w:t>
      </w:r>
    </w:p>
    <w:p w14:paraId="396F354B" w14:textId="708B8697" w:rsidR="0063590B" w:rsidRPr="0063590B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>INTERCEPT</w:t>
      </w:r>
      <w:r w:rsidR="003A2E65" w:rsidRPr="0063590B">
        <w:rPr>
          <w:rFonts w:ascii="Arial" w:hAnsi="Arial" w:cs="Arial"/>
          <w:sz w:val="20"/>
          <w:szCs w:val="20"/>
          <w:vertAlign w:val="superscript"/>
        </w:rPr>
        <w:t>®</w:t>
      </w:r>
      <w:r w:rsidRPr="0063590B">
        <w:rPr>
          <w:rFonts w:ascii="Arial" w:hAnsi="Arial" w:cs="Arial"/>
          <w:sz w:val="20"/>
          <w:szCs w:val="20"/>
        </w:rPr>
        <w:t xml:space="preserve"> </w:t>
      </w:r>
      <w:r w:rsidR="000635D8" w:rsidRPr="0063590B">
        <w:rPr>
          <w:rFonts w:ascii="Arial" w:hAnsi="Arial" w:cs="Arial"/>
          <w:sz w:val="20"/>
          <w:szCs w:val="20"/>
        </w:rPr>
        <w:t xml:space="preserve">Blood System for Platelets </w:t>
      </w:r>
      <w:r w:rsidRPr="0063590B">
        <w:rPr>
          <w:rFonts w:ascii="Arial" w:hAnsi="Arial" w:cs="Arial"/>
          <w:sz w:val="20"/>
          <w:szCs w:val="20"/>
        </w:rPr>
        <w:t>is the brand name of the psoralen treatment process and is embossed across the top of the bag.</w:t>
      </w:r>
      <w:r w:rsidR="0063590B" w:rsidRPr="0063590B">
        <w:rPr>
          <w:rFonts w:ascii="Arial" w:hAnsi="Arial" w:cs="Arial"/>
          <w:sz w:val="20"/>
          <w:szCs w:val="20"/>
        </w:rPr>
        <w:t xml:space="preserve"> </w:t>
      </w:r>
    </w:p>
    <w:p w14:paraId="46C6A35B" w14:textId="63826105" w:rsidR="00BD7ADE" w:rsidRPr="0063590B" w:rsidRDefault="007A24B5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 xml:space="preserve">Both conventional and psoralen treated platelets are </w:t>
      </w:r>
      <w:proofErr w:type="spellStart"/>
      <w:r w:rsidRPr="0063590B">
        <w:rPr>
          <w:rFonts w:ascii="Arial" w:hAnsi="Arial" w:cs="Arial"/>
          <w:sz w:val="20"/>
          <w:szCs w:val="20"/>
        </w:rPr>
        <w:t>leukoreduced</w:t>
      </w:r>
      <w:proofErr w:type="spellEnd"/>
      <w:r w:rsidRPr="0063590B">
        <w:rPr>
          <w:rFonts w:ascii="Arial" w:hAnsi="Arial" w:cs="Arial"/>
          <w:sz w:val="20"/>
          <w:szCs w:val="20"/>
        </w:rPr>
        <w:t xml:space="preserve"> during the apheresis collection process. </w:t>
      </w:r>
    </w:p>
    <w:p w14:paraId="4D75C235" w14:textId="77777777" w:rsidR="00BD7ADE" w:rsidRPr="0063590B" w:rsidRDefault="00BD7ADE" w:rsidP="00BD7AD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9A85787" w14:textId="0C765760" w:rsidR="00BD7ADE" w:rsidRDefault="00BD7ADE" w:rsidP="00BD7ADE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3302B82C" w14:textId="4F07F49E" w:rsidR="0063590B" w:rsidRDefault="0063590B" w:rsidP="00BD7ADE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7F40387F" w14:textId="77777777" w:rsidR="00565C2F" w:rsidRPr="0063590B" w:rsidRDefault="00565C2F" w:rsidP="00BD7ADE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0A329B94" w14:textId="77777777" w:rsidR="00BD7ADE" w:rsidRPr="0063590B" w:rsidRDefault="00BD7ADE" w:rsidP="00BD7AD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3590B">
        <w:rPr>
          <w:rFonts w:ascii="Arial" w:hAnsi="Arial" w:cs="Arial"/>
          <w:b/>
          <w:sz w:val="20"/>
          <w:szCs w:val="20"/>
        </w:rPr>
        <w:t xml:space="preserve">       </w:t>
      </w:r>
    </w:p>
    <w:p w14:paraId="528745D2" w14:textId="192AED0C" w:rsidR="00BD7ADE" w:rsidRDefault="00BD7ADE" w:rsidP="00BD7AD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lastRenderedPageBreak/>
        <w:t xml:space="preserve">Key words to look for on the new platelet labels - </w:t>
      </w:r>
      <w:r w:rsidRPr="0063590B">
        <w:rPr>
          <w:rFonts w:ascii="Arial" w:hAnsi="Arial" w:cs="Arial"/>
          <w:b/>
          <w:sz w:val="20"/>
          <w:szCs w:val="20"/>
          <w:u w:val="single"/>
        </w:rPr>
        <w:t>PSORALEN TREATED</w:t>
      </w:r>
      <w:r w:rsidRPr="0063590B">
        <w:rPr>
          <w:rFonts w:ascii="Arial" w:hAnsi="Arial" w:cs="Arial"/>
          <w:sz w:val="20"/>
          <w:szCs w:val="20"/>
        </w:rPr>
        <w:t xml:space="preserve"> which indicates that this product has undergone the psoralen + UVA light treatment process to </w:t>
      </w:r>
      <w:r w:rsidR="002F10DD" w:rsidRPr="0063590B">
        <w:rPr>
          <w:rFonts w:ascii="Arial" w:hAnsi="Arial" w:cs="Arial"/>
          <w:sz w:val="20"/>
          <w:szCs w:val="20"/>
        </w:rPr>
        <w:t>reduce the risk of pathogens</w:t>
      </w:r>
      <w:r w:rsidRPr="0063590B">
        <w:rPr>
          <w:rFonts w:ascii="Arial" w:hAnsi="Arial" w:cs="Arial"/>
          <w:sz w:val="20"/>
          <w:szCs w:val="20"/>
        </w:rPr>
        <w:t xml:space="preserve">. </w:t>
      </w:r>
    </w:p>
    <w:p w14:paraId="1ED4995D" w14:textId="77777777" w:rsidR="0063590B" w:rsidRPr="0063590B" w:rsidRDefault="0063590B" w:rsidP="00BD7AD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8E66F3" w14:textId="30E020E1" w:rsidR="00BD7ADE" w:rsidRPr="0063590B" w:rsidRDefault="0088731E" w:rsidP="00BD7AD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EA66B8" wp14:editId="7193EB06">
            <wp:extent cx="5978818" cy="2190307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98" cy="219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DED96" w14:textId="1F339934" w:rsidR="00BD7ADE" w:rsidRPr="0063590B" w:rsidRDefault="00BD7ADE" w:rsidP="0063590B">
      <w:pPr>
        <w:spacing w:after="0" w:line="240" w:lineRule="auto"/>
        <w:ind w:left="2160" w:firstLine="720"/>
        <w:rPr>
          <w:rFonts w:ascii="Arial" w:hAnsi="Arial" w:cs="Arial"/>
          <w:b/>
          <w:sz w:val="20"/>
          <w:szCs w:val="20"/>
        </w:rPr>
      </w:pPr>
      <w:r w:rsidRPr="0063590B">
        <w:rPr>
          <w:rFonts w:ascii="Arial" w:hAnsi="Arial" w:cs="Arial"/>
          <w:noProof/>
        </w:rPr>
        <w:t xml:space="preserve">             </w:t>
      </w:r>
    </w:p>
    <w:p w14:paraId="07206B89" w14:textId="77777777" w:rsidR="00BD7ADE" w:rsidRPr="0063590B" w:rsidRDefault="00BD7ADE" w:rsidP="00BD7AD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1CA2AA9" w14:textId="6614D418" w:rsidR="00BD7ADE" w:rsidRPr="0063590B" w:rsidRDefault="00BD7ADE" w:rsidP="00BD7AD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b/>
          <w:sz w:val="20"/>
          <w:szCs w:val="20"/>
        </w:rPr>
        <w:t xml:space="preserve">PSORALEN TREATED PLATETS </w:t>
      </w:r>
      <w:r w:rsidR="00C86786" w:rsidRPr="0063590B">
        <w:rPr>
          <w:rFonts w:ascii="Arial" w:hAnsi="Arial" w:cs="Arial"/>
          <w:b/>
          <w:sz w:val="20"/>
          <w:szCs w:val="20"/>
        </w:rPr>
        <w:t xml:space="preserve">MAY BE </w:t>
      </w:r>
      <w:r w:rsidRPr="0063590B">
        <w:rPr>
          <w:rFonts w:ascii="Arial" w:hAnsi="Arial" w:cs="Arial"/>
          <w:b/>
          <w:sz w:val="20"/>
          <w:szCs w:val="20"/>
        </w:rPr>
        <w:t>USED AS AN ALTERNATIVE TO IRRADIATED PLATELET</w:t>
      </w:r>
      <w:r w:rsidR="00C86786" w:rsidRPr="0063590B">
        <w:rPr>
          <w:rFonts w:ascii="Arial" w:hAnsi="Arial" w:cs="Arial"/>
          <w:b/>
          <w:sz w:val="20"/>
          <w:szCs w:val="20"/>
        </w:rPr>
        <w:t>S</w:t>
      </w:r>
    </w:p>
    <w:p w14:paraId="43D3383C" w14:textId="77777777" w:rsidR="00BD7ADE" w:rsidRPr="0063590B" w:rsidRDefault="00BD7ADE" w:rsidP="00BD7ADE">
      <w:pPr>
        <w:pStyle w:val="ListParagraph"/>
        <w:ind w:left="288"/>
        <w:rPr>
          <w:rFonts w:ascii="Arial" w:hAnsi="Arial" w:cs="Arial"/>
          <w:sz w:val="20"/>
          <w:szCs w:val="20"/>
        </w:rPr>
      </w:pPr>
    </w:p>
    <w:p w14:paraId="19214166" w14:textId="6FD7B50A" w:rsidR="00BD7ADE" w:rsidRPr="0063590B" w:rsidRDefault="00BD7ADE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sz w:val="20"/>
          <w:szCs w:val="20"/>
        </w:rPr>
        <w:t>Platelets that have been psoralen</w:t>
      </w:r>
      <w:r w:rsidR="00F41C0C">
        <w:rPr>
          <w:rFonts w:ascii="Arial" w:hAnsi="Arial" w:cs="Arial"/>
          <w:sz w:val="20"/>
          <w:szCs w:val="20"/>
        </w:rPr>
        <w:t>/UVA</w:t>
      </w:r>
      <w:r w:rsidRPr="0063590B">
        <w:rPr>
          <w:rFonts w:ascii="Arial" w:hAnsi="Arial" w:cs="Arial"/>
          <w:sz w:val="20"/>
          <w:szCs w:val="20"/>
        </w:rPr>
        <w:t xml:space="preserve"> treated do not require irradiation. Both the FDA and the AABB (Standard 5</w:t>
      </w:r>
      <w:r w:rsidRPr="001F72A1">
        <w:rPr>
          <w:rFonts w:ascii="Arial" w:hAnsi="Arial" w:cs="Arial"/>
          <w:sz w:val="20"/>
          <w:szCs w:val="20"/>
        </w:rPr>
        <w:t>.19.</w:t>
      </w:r>
      <w:r w:rsidR="00633803" w:rsidRPr="001F72A1">
        <w:rPr>
          <w:rFonts w:ascii="Arial" w:hAnsi="Arial" w:cs="Arial"/>
          <w:sz w:val="20"/>
          <w:szCs w:val="20"/>
        </w:rPr>
        <w:t>4</w:t>
      </w:r>
      <w:r w:rsidRPr="001F72A1">
        <w:rPr>
          <w:rFonts w:ascii="Arial" w:hAnsi="Arial" w:cs="Arial"/>
          <w:sz w:val="20"/>
          <w:szCs w:val="20"/>
        </w:rPr>
        <w:t xml:space="preserve">.1 for </w:t>
      </w:r>
      <w:r w:rsidR="002F10DD" w:rsidRPr="001F72A1">
        <w:rPr>
          <w:rFonts w:ascii="Arial" w:hAnsi="Arial" w:cs="Arial"/>
          <w:sz w:val="20"/>
          <w:szCs w:val="20"/>
        </w:rPr>
        <w:t>prevent</w:t>
      </w:r>
      <w:r w:rsidR="00DB02D3" w:rsidRPr="001F72A1">
        <w:rPr>
          <w:rFonts w:ascii="Arial" w:hAnsi="Arial" w:cs="Arial"/>
          <w:sz w:val="20"/>
          <w:szCs w:val="20"/>
        </w:rPr>
        <w:t>i</w:t>
      </w:r>
      <w:r w:rsidR="002F10DD" w:rsidRPr="001F72A1">
        <w:rPr>
          <w:rFonts w:ascii="Arial" w:hAnsi="Arial" w:cs="Arial"/>
          <w:sz w:val="20"/>
          <w:szCs w:val="20"/>
        </w:rPr>
        <w:t>on</w:t>
      </w:r>
      <w:r w:rsidR="002F10DD" w:rsidRPr="0063590B">
        <w:rPr>
          <w:rFonts w:ascii="Arial" w:hAnsi="Arial" w:cs="Arial"/>
          <w:sz w:val="20"/>
          <w:szCs w:val="20"/>
        </w:rPr>
        <w:t xml:space="preserve"> of TA-GVHD</w:t>
      </w:r>
      <w:r w:rsidRPr="0063590B">
        <w:rPr>
          <w:rFonts w:ascii="Arial" w:hAnsi="Arial" w:cs="Arial"/>
          <w:sz w:val="20"/>
          <w:szCs w:val="20"/>
        </w:rPr>
        <w:t xml:space="preserve">) consider the FDA approved </w:t>
      </w:r>
      <w:r w:rsidR="002F10DD" w:rsidRPr="0063590B">
        <w:rPr>
          <w:rFonts w:ascii="Arial" w:hAnsi="Arial" w:cs="Arial"/>
          <w:sz w:val="20"/>
          <w:szCs w:val="20"/>
        </w:rPr>
        <w:t>INTERCEPT Blood System treatment process (psoralen treatment) an alternative to</w:t>
      </w:r>
      <w:r w:rsidR="00F41C0C">
        <w:rPr>
          <w:rFonts w:ascii="Arial" w:hAnsi="Arial" w:cs="Arial"/>
          <w:sz w:val="20"/>
          <w:szCs w:val="20"/>
        </w:rPr>
        <w:t xml:space="preserve"> gamma</w:t>
      </w:r>
      <w:r w:rsidRPr="0063590B">
        <w:rPr>
          <w:rFonts w:ascii="Arial" w:hAnsi="Arial" w:cs="Arial"/>
          <w:sz w:val="20"/>
          <w:szCs w:val="20"/>
        </w:rPr>
        <w:t xml:space="preserve"> irradiation. </w:t>
      </w:r>
    </w:p>
    <w:p w14:paraId="2BD6AA3E" w14:textId="36375D44" w:rsidR="00BD7ADE" w:rsidRPr="0063590B" w:rsidRDefault="00DB02D3" w:rsidP="00BD7ADE">
      <w:pPr>
        <w:pStyle w:val="ListParagraph"/>
        <w:numPr>
          <w:ilvl w:val="1"/>
          <w:numId w:val="7"/>
        </w:numPr>
        <w:spacing w:after="120"/>
        <w:ind w:left="576" w:hanging="288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F2E8D8" wp14:editId="00A72279">
                <wp:simplePos x="0" y="0"/>
                <wp:positionH relativeFrom="column">
                  <wp:posOffset>779780</wp:posOffset>
                </wp:positionH>
                <wp:positionV relativeFrom="paragraph">
                  <wp:posOffset>794385</wp:posOffset>
                </wp:positionV>
                <wp:extent cx="1470660" cy="1127760"/>
                <wp:effectExtent l="0" t="0" r="0" b="0"/>
                <wp:wrapNone/>
                <wp:docPr id="300" name="Multipl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1127760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733F" id="Multiply 11" o:spid="_x0000_s1026" style="position:absolute;margin-left:61.4pt;margin-top:62.55pt;width:115.8pt;height:8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0660,1127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" path="m272511,376103l433920,165617,735330,396750,1036740,165617r161409,210486l953277,563880r244872,187777l1036740,962143,735330,731010,433920,962143,272511,751657,517383,563880,272511,376103xe" fillcolor="#c0504d [3205]" strokecolor="#243f60 [1604]" strokeweight="2pt">
                <v:path arrowok="t" o:connecttype="custom" o:connectlocs="272511,376103;433920,165617;735330,396750;1036740,165617;1198149,376103;953277,563880;1198149,751657;1036740,962143;735330,731010;433920,962143;272511,751657;517383,563880;272511,376103" o:connectangles="0,0,0,0,0,0,0,0,0,0,0,0,0"/>
              </v:shape>
            </w:pict>
          </mc:Fallback>
        </mc:AlternateContent>
      </w:r>
      <w:r w:rsidR="00BD7ADE" w:rsidRPr="0063590B">
        <w:rPr>
          <w:rFonts w:ascii="Arial" w:hAnsi="Arial" w:cs="Arial"/>
          <w:sz w:val="20"/>
          <w:szCs w:val="20"/>
        </w:rPr>
        <w:t>As the psoralen-treated platelets do not require irradiation there will NOT be a Rad-Sure™ sticker or any other indicator</w:t>
      </w:r>
      <w:r w:rsidR="00F41C0C">
        <w:rPr>
          <w:rFonts w:ascii="Arial" w:hAnsi="Arial" w:cs="Arial"/>
          <w:sz w:val="20"/>
          <w:szCs w:val="20"/>
        </w:rPr>
        <w:t xml:space="preserve"> on the platelet product</w:t>
      </w:r>
      <w:r w:rsidR="00BD7ADE" w:rsidRPr="0063590B">
        <w:rPr>
          <w:rFonts w:ascii="Arial" w:hAnsi="Arial" w:cs="Arial"/>
          <w:sz w:val="20"/>
          <w:szCs w:val="20"/>
        </w:rPr>
        <w:t xml:space="preserve"> that the platelets has been irradiated. No irradiation will be performed on psoralen-treated platelet as it is not required. The language </w:t>
      </w:r>
      <w:r w:rsidRPr="0063590B">
        <w:rPr>
          <w:rFonts w:ascii="Arial" w:hAnsi="Arial" w:cs="Arial"/>
          <w:sz w:val="20"/>
          <w:szCs w:val="20"/>
        </w:rPr>
        <w:t>provided below is an example of what other hospital</w:t>
      </w:r>
      <w:r w:rsidR="008C3851">
        <w:rPr>
          <w:rFonts w:ascii="Arial" w:hAnsi="Arial" w:cs="Arial"/>
          <w:sz w:val="20"/>
          <w:szCs w:val="20"/>
        </w:rPr>
        <w:t xml:space="preserve"> blood banks</w:t>
      </w:r>
      <w:r w:rsidRPr="0063590B">
        <w:rPr>
          <w:rFonts w:ascii="Arial" w:hAnsi="Arial" w:cs="Arial"/>
          <w:sz w:val="20"/>
          <w:szCs w:val="20"/>
        </w:rPr>
        <w:t xml:space="preserve"> have</w:t>
      </w:r>
      <w:r w:rsidR="00BD7ADE" w:rsidRPr="0063590B">
        <w:rPr>
          <w:rFonts w:ascii="Arial" w:hAnsi="Arial" w:cs="Arial"/>
          <w:sz w:val="20"/>
          <w:szCs w:val="20"/>
        </w:rPr>
        <w:t xml:space="preserve"> used on tie tag</w:t>
      </w:r>
      <w:r w:rsidRPr="0063590B">
        <w:rPr>
          <w:rFonts w:ascii="Arial" w:hAnsi="Arial" w:cs="Arial"/>
          <w:sz w:val="20"/>
          <w:szCs w:val="20"/>
        </w:rPr>
        <w:t xml:space="preserve"> to indicate that the psoralen treated platelet is an </w:t>
      </w:r>
      <w:r w:rsidR="004E2562">
        <w:rPr>
          <w:rFonts w:ascii="Arial" w:hAnsi="Arial" w:cs="Arial"/>
          <w:sz w:val="20"/>
          <w:szCs w:val="20"/>
        </w:rPr>
        <w:t xml:space="preserve">approved </w:t>
      </w:r>
      <w:r w:rsidRPr="0063590B">
        <w:rPr>
          <w:rFonts w:ascii="Arial" w:hAnsi="Arial" w:cs="Arial"/>
          <w:sz w:val="20"/>
          <w:szCs w:val="20"/>
        </w:rPr>
        <w:t xml:space="preserve">alternative to </w:t>
      </w:r>
      <w:r w:rsidR="00F41C0C">
        <w:rPr>
          <w:rFonts w:ascii="Arial" w:hAnsi="Arial" w:cs="Arial"/>
          <w:sz w:val="20"/>
          <w:szCs w:val="20"/>
        </w:rPr>
        <w:t xml:space="preserve">gamma </w:t>
      </w:r>
      <w:r w:rsidRPr="0063590B">
        <w:rPr>
          <w:rFonts w:ascii="Arial" w:hAnsi="Arial" w:cs="Arial"/>
          <w:sz w:val="20"/>
          <w:szCs w:val="20"/>
        </w:rPr>
        <w:t>irradiation</w:t>
      </w:r>
      <w:r w:rsidR="008C3851">
        <w:rPr>
          <w:rFonts w:ascii="Arial" w:hAnsi="Arial" w:cs="Arial"/>
          <w:sz w:val="20"/>
          <w:szCs w:val="20"/>
        </w:rPr>
        <w:t xml:space="preserve">, </w:t>
      </w:r>
      <w:r w:rsidRPr="0063590B">
        <w:rPr>
          <w:rFonts w:ascii="Arial" w:hAnsi="Arial" w:cs="Arial"/>
          <w:sz w:val="20"/>
          <w:szCs w:val="20"/>
        </w:rPr>
        <w:t xml:space="preserve">this will need to be worded in compliance with your hospital policy. </w:t>
      </w:r>
      <w:r w:rsidR="00BD7ADE" w:rsidRPr="0063590B">
        <w:rPr>
          <w:rFonts w:ascii="Arial" w:hAnsi="Arial" w:cs="Arial"/>
          <w:sz w:val="20"/>
          <w:szCs w:val="20"/>
        </w:rPr>
        <w:t xml:space="preserve"> </w:t>
      </w:r>
    </w:p>
    <w:p w14:paraId="654DCB3D" w14:textId="35E927DB" w:rsidR="00BD7ADE" w:rsidRPr="0063590B" w:rsidRDefault="00BD7ADE" w:rsidP="00BD7ADE">
      <w:pPr>
        <w:pStyle w:val="ListParagraph"/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747ABE45" w14:textId="6037B773" w:rsidR="00BD7ADE" w:rsidRPr="0063590B" w:rsidRDefault="008C3851" w:rsidP="00BD7ADE">
      <w:pPr>
        <w:pStyle w:val="ListParagraph"/>
        <w:jc w:val="center"/>
        <w:rPr>
          <w:rFonts w:ascii="Arial" w:hAnsi="Arial" w:cs="Arial"/>
          <w:sz w:val="20"/>
          <w:szCs w:val="20"/>
        </w:rPr>
      </w:pPr>
      <w:r w:rsidRPr="0063590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67D504" wp14:editId="6161AB30">
                <wp:simplePos x="0" y="0"/>
                <wp:positionH relativeFrom="column">
                  <wp:posOffset>52126</wp:posOffset>
                </wp:positionH>
                <wp:positionV relativeFrom="paragraph">
                  <wp:posOffset>74323</wp:posOffset>
                </wp:positionV>
                <wp:extent cx="2834640" cy="1682496"/>
                <wp:effectExtent l="0" t="0" r="22860" b="1333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68249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82E02" w14:textId="77777777" w:rsidR="00BD7ADE" w:rsidRPr="00A77D30" w:rsidRDefault="00BD7ADE" w:rsidP="00BD7ADE">
                            <w:r w:rsidRPr="00A77D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PSORALEN</w:t>
                            </w:r>
                            <w:r w:rsidRPr="00A77D30">
                              <w:t xml:space="preserve"> </w:t>
                            </w:r>
                            <w:r w:rsidRPr="00A77D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TREATMENT of platelets is an FDA approved alternative to IRRADIATION of platelets. </w:t>
                            </w:r>
                          </w:p>
                          <w:p w14:paraId="3709EACE" w14:textId="5FFDEF7E" w:rsidR="00BD7ADE" w:rsidRPr="00A77D30" w:rsidRDefault="00BD7ADE" w:rsidP="00BD7A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77D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PSORA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LEN TREATMENT also meets AABB CMV Mitigation Standards</w:t>
                            </w:r>
                            <w:r w:rsidRPr="00A77D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819FC7" w14:textId="77777777" w:rsidR="00BD7ADE" w:rsidRPr="00A77D30" w:rsidRDefault="00BD7ADE" w:rsidP="00BD7A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77D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7D658F6" w14:textId="3438C1DD" w:rsidR="00BD7ADE" w:rsidRPr="008C3851" w:rsidRDefault="00BD7ADE" w:rsidP="008C385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77D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PSORALEN-TREATED platelet products </w:t>
                            </w:r>
                            <w:r w:rsidR="00253E3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can be used interchangeably with </w:t>
                            </w:r>
                            <w:r w:rsidRPr="00A77D3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conventional platelets.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7D5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1pt;margin-top:5.85pt;width:223.2pt;height:13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" fillcolor="yellow">
                <v:textbox>
                  <w:txbxContent>
                    <w:p w14:paraId="67F82E02" w14:textId="77777777" w:rsidR="00BD7ADE" w:rsidRPr="00A77D30" w:rsidRDefault="00BD7ADE" w:rsidP="00BD7ADE">
                      <w:r w:rsidRPr="00A77D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PSORALEN</w:t>
                      </w:r>
                      <w:r w:rsidRPr="00A77D30">
                        <w:t xml:space="preserve"> </w:t>
                      </w:r>
                      <w:r w:rsidRPr="00A77D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TREATMENT of platelets is an FDA approved alternative to IRRADIATION of platelets. </w:t>
                      </w:r>
                    </w:p>
                    <w:p w14:paraId="3709EACE" w14:textId="5FFDEF7E" w:rsidR="00BD7ADE" w:rsidRPr="00A77D30" w:rsidRDefault="00BD7ADE" w:rsidP="00BD7AD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77D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PSORA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LEN TREATMENT also meets AABB CMV Mitigation Standards</w:t>
                      </w:r>
                      <w:r w:rsidRPr="00A77D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819FC7" w14:textId="77777777" w:rsidR="00BD7ADE" w:rsidRPr="00A77D30" w:rsidRDefault="00BD7ADE" w:rsidP="00BD7AD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77D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7D658F6" w14:textId="3438C1DD" w:rsidR="00BD7ADE" w:rsidRPr="008C3851" w:rsidRDefault="00BD7ADE" w:rsidP="008C385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77D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PSORALEN-TREATED platelet products </w:t>
                      </w:r>
                      <w:r w:rsidR="00253E3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can be used interchangeably with </w:t>
                      </w:r>
                      <w:r w:rsidRPr="00A77D3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conventional platelets.</w:t>
                      </w:r>
                    </w:p>
                  </w:txbxContent>
                </v:textbox>
              </v:shape>
            </w:pict>
          </mc:Fallback>
        </mc:AlternateContent>
      </w:r>
      <w:r w:rsidR="00BD7ADE" w:rsidRPr="0063590B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9EE1D44" wp14:editId="2082369E">
            <wp:simplePos x="0" y="0"/>
            <wp:positionH relativeFrom="margin">
              <wp:posOffset>205105</wp:posOffset>
            </wp:positionH>
            <wp:positionV relativeFrom="margin">
              <wp:posOffset>4745990</wp:posOffset>
            </wp:positionV>
            <wp:extent cx="2576830" cy="1704975"/>
            <wp:effectExtent l="0" t="0" r="0" b="9525"/>
            <wp:wrapSquare wrapText="bothSides"/>
            <wp:docPr id="2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2587A" w14:textId="3D92F38F" w:rsidR="00BD7ADE" w:rsidRPr="0063590B" w:rsidRDefault="00BD7ADE" w:rsidP="00BD7ADE">
      <w:pPr>
        <w:pStyle w:val="ListParagraph"/>
        <w:jc w:val="center"/>
        <w:rPr>
          <w:rFonts w:ascii="Arial" w:hAnsi="Arial" w:cs="Arial"/>
          <w:sz w:val="20"/>
          <w:szCs w:val="20"/>
        </w:rPr>
      </w:pPr>
    </w:p>
    <w:p w14:paraId="3D68FA17" w14:textId="107C6C66" w:rsidR="00BD7ADE" w:rsidRPr="0063590B" w:rsidRDefault="00BD7ADE" w:rsidP="00BD7ADE">
      <w:pPr>
        <w:pStyle w:val="ListParagraph"/>
        <w:jc w:val="center"/>
        <w:rPr>
          <w:rFonts w:ascii="Arial" w:hAnsi="Arial" w:cs="Arial"/>
          <w:sz w:val="20"/>
          <w:szCs w:val="20"/>
        </w:rPr>
      </w:pPr>
    </w:p>
    <w:p w14:paraId="7F4F1FEA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198852DD" w14:textId="1DFBCEC2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1DDFAFB2" w14:textId="6ACFF5C9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2963F71D" w14:textId="47A92A0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7B0BD6E4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103FF459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008DB634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5793A163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55A32B28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6FBB7AD0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0663833D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32AE706F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691C31C8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79AEAF3A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3D8541A7" w14:textId="77777777" w:rsidR="00BD7ADE" w:rsidRPr="0063590B" w:rsidRDefault="00BD7ADE" w:rsidP="00BD7ADE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</w:p>
    <w:p w14:paraId="3C3467A1" w14:textId="77777777" w:rsidR="00BD7ADE" w:rsidRPr="0063590B" w:rsidRDefault="00BD7ADE" w:rsidP="00BD7ADE">
      <w:pPr>
        <w:rPr>
          <w:rFonts w:ascii="Arial" w:hAnsi="Arial" w:cs="Arial"/>
          <w:b/>
          <w:sz w:val="16"/>
          <w:szCs w:val="16"/>
          <w:u w:val="single"/>
        </w:rPr>
      </w:pPr>
      <w:r w:rsidRPr="0063590B">
        <w:rPr>
          <w:rFonts w:ascii="Arial" w:hAnsi="Arial" w:cs="Arial"/>
          <w:b/>
          <w:sz w:val="16"/>
          <w:szCs w:val="16"/>
          <w:u w:val="single"/>
        </w:rPr>
        <w:br w:type="page"/>
      </w:r>
    </w:p>
    <w:p w14:paraId="6A7D683E" w14:textId="60B42E0E" w:rsidR="009F027E" w:rsidRDefault="009F027E" w:rsidP="009F027E">
      <w:pPr>
        <w:autoSpaceDE w:val="0"/>
        <w:autoSpaceDN w:val="0"/>
        <w:adjustRightInd w:val="0"/>
        <w:spacing w:after="0" w:line="240" w:lineRule="auto"/>
        <w:ind w:right="697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INTENDED USE</w:t>
      </w:r>
    </w:p>
    <w:p w14:paraId="3A08141E" w14:textId="29B14100" w:rsidR="009F027E" w:rsidRDefault="009F027E" w:rsidP="009F02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F027E">
        <w:rPr>
          <w:rFonts w:ascii="Arial" w:hAnsi="Arial" w:cs="Arial"/>
          <w:sz w:val="18"/>
          <w:szCs w:val="18"/>
        </w:rPr>
        <w:t xml:space="preserve">The INTERCEPT Blood System for Platelets is intended to be used for ex vivo preparation of pathogen-reduced Amicus apheresis platelet components suspended in 65% PAS-3/35% plasma, and </w:t>
      </w:r>
      <w:proofErr w:type="spellStart"/>
      <w:r w:rsidRPr="009F027E">
        <w:rPr>
          <w:rFonts w:ascii="Arial" w:hAnsi="Arial" w:cs="Arial"/>
          <w:sz w:val="18"/>
          <w:szCs w:val="18"/>
        </w:rPr>
        <w:t>Trima</w:t>
      </w:r>
      <w:proofErr w:type="spellEnd"/>
      <w:r w:rsidRPr="009F027E">
        <w:rPr>
          <w:rFonts w:ascii="Arial" w:hAnsi="Arial" w:cs="Arial"/>
          <w:sz w:val="18"/>
          <w:szCs w:val="18"/>
        </w:rPr>
        <w:t xml:space="preserve"> apheresis platelet components suspended in 100% plasma in order to reduce the risk of transfusion-transmitted infection (TTI), including sepsis, and as an alternative to gamma irradiation for prevention of transfusion-associated graft versus host disease (TA-GVHD).</w:t>
      </w:r>
    </w:p>
    <w:p w14:paraId="6E14F0F7" w14:textId="21DF238C" w:rsidR="009F027E" w:rsidRDefault="009F027E" w:rsidP="009F027E">
      <w:pPr>
        <w:autoSpaceDE w:val="0"/>
        <w:autoSpaceDN w:val="0"/>
        <w:adjustRightInd w:val="0"/>
        <w:spacing w:after="0" w:line="240" w:lineRule="auto"/>
        <w:ind w:right="6977"/>
        <w:jc w:val="both"/>
        <w:rPr>
          <w:rFonts w:ascii="Arial" w:hAnsi="Arial" w:cs="Arial"/>
          <w:sz w:val="18"/>
          <w:szCs w:val="18"/>
        </w:rPr>
      </w:pPr>
    </w:p>
    <w:p w14:paraId="06467741" w14:textId="77777777" w:rsidR="009F027E" w:rsidRDefault="009F027E" w:rsidP="009F027E">
      <w:pPr>
        <w:autoSpaceDE w:val="0"/>
        <w:autoSpaceDN w:val="0"/>
        <w:adjustRightInd w:val="0"/>
        <w:spacing w:after="0" w:line="240" w:lineRule="auto"/>
        <w:ind w:right="6977"/>
        <w:jc w:val="both"/>
        <w:rPr>
          <w:rFonts w:ascii="Arial" w:hAnsi="Arial" w:cs="Arial"/>
          <w:sz w:val="18"/>
          <w:szCs w:val="18"/>
        </w:rPr>
      </w:pPr>
    </w:p>
    <w:p w14:paraId="77786C15" w14:textId="6814EFF5" w:rsidR="00BD7ADE" w:rsidRPr="001F72A1" w:rsidRDefault="00BD7ADE" w:rsidP="009F027E">
      <w:pPr>
        <w:autoSpaceDE w:val="0"/>
        <w:autoSpaceDN w:val="0"/>
        <w:adjustRightInd w:val="0"/>
        <w:spacing w:after="0" w:line="240" w:lineRule="auto"/>
        <w:ind w:right="6977"/>
        <w:jc w:val="both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CONTRAINDICATIONS</w:t>
      </w:r>
    </w:p>
    <w:p w14:paraId="1BCBBCFE" w14:textId="3433FA8B" w:rsidR="00BD7ADE" w:rsidRPr="001F72A1" w:rsidRDefault="00633803" w:rsidP="00BD7AD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proofErr w:type="gramStart"/>
      <w:r w:rsidRPr="001F72A1">
        <w:rPr>
          <w:rFonts w:ascii="Arial" w:hAnsi="Arial" w:cs="Arial"/>
          <w:sz w:val="18"/>
          <w:szCs w:val="18"/>
        </w:rPr>
        <w:t>Contraindicated for</w:t>
      </w:r>
      <w:proofErr w:type="gramEnd"/>
      <w:r w:rsidRPr="001F72A1">
        <w:rPr>
          <w:rFonts w:ascii="Arial" w:hAnsi="Arial" w:cs="Arial"/>
          <w:sz w:val="18"/>
          <w:szCs w:val="18"/>
        </w:rPr>
        <w:t xml:space="preserve"> preparation of platelet components intended for patients with a history of hypersensitivity </w:t>
      </w:r>
      <w:r w:rsidR="00E9167A">
        <w:rPr>
          <w:rFonts w:ascii="Arial" w:hAnsi="Arial" w:cs="Arial"/>
          <w:sz w:val="18"/>
          <w:szCs w:val="18"/>
        </w:rPr>
        <w:t xml:space="preserve">reaction </w:t>
      </w:r>
      <w:r w:rsidRPr="001F72A1">
        <w:rPr>
          <w:rFonts w:ascii="Arial" w:hAnsi="Arial" w:cs="Arial"/>
          <w:sz w:val="18"/>
          <w:szCs w:val="18"/>
        </w:rPr>
        <w:t xml:space="preserve">to </w:t>
      </w:r>
      <w:proofErr w:type="spellStart"/>
      <w:r w:rsidRPr="001F72A1">
        <w:rPr>
          <w:rFonts w:ascii="Arial" w:hAnsi="Arial" w:cs="Arial"/>
          <w:sz w:val="18"/>
          <w:szCs w:val="18"/>
        </w:rPr>
        <w:t>amotosalen</w:t>
      </w:r>
      <w:proofErr w:type="spellEnd"/>
      <w:r w:rsidRPr="001F72A1">
        <w:rPr>
          <w:rFonts w:ascii="Arial" w:hAnsi="Arial" w:cs="Arial"/>
          <w:sz w:val="18"/>
          <w:szCs w:val="18"/>
        </w:rPr>
        <w:t xml:space="preserve"> or other psoralens. </w:t>
      </w:r>
      <w:proofErr w:type="gramStart"/>
      <w:r w:rsidRPr="001F72A1">
        <w:rPr>
          <w:rFonts w:ascii="Arial" w:hAnsi="Arial" w:cs="Arial"/>
          <w:sz w:val="18"/>
          <w:szCs w:val="18"/>
        </w:rPr>
        <w:t>Contraindicated for</w:t>
      </w:r>
      <w:proofErr w:type="gramEnd"/>
      <w:r w:rsidRPr="001F72A1">
        <w:rPr>
          <w:rFonts w:ascii="Arial" w:hAnsi="Arial" w:cs="Arial"/>
          <w:sz w:val="18"/>
          <w:szCs w:val="18"/>
        </w:rPr>
        <w:t xml:space="preserve"> preparation of platelet components intended for neonatal patients treated with phototherapy devices that emit a peak energy wavelength less than 425 </w:t>
      </w:r>
      <w:proofErr w:type="gramStart"/>
      <w:r w:rsidRPr="001F72A1">
        <w:rPr>
          <w:rFonts w:ascii="Arial" w:hAnsi="Arial" w:cs="Arial"/>
          <w:sz w:val="18"/>
          <w:szCs w:val="18"/>
        </w:rPr>
        <w:t>nm, or</w:t>
      </w:r>
      <w:proofErr w:type="gramEnd"/>
      <w:r w:rsidRPr="001F72A1">
        <w:rPr>
          <w:rFonts w:ascii="Arial" w:hAnsi="Arial" w:cs="Arial"/>
          <w:sz w:val="18"/>
          <w:szCs w:val="18"/>
        </w:rPr>
        <w:t xml:space="preserve"> have a lower bound of the emission bandwidth &lt;375 </w:t>
      </w:r>
      <w:r w:rsidR="00C644A3" w:rsidRPr="001F72A1">
        <w:rPr>
          <w:rFonts w:ascii="Arial" w:hAnsi="Arial" w:cs="Arial"/>
          <w:sz w:val="18"/>
          <w:szCs w:val="18"/>
        </w:rPr>
        <w:t>n</w:t>
      </w:r>
      <w:r w:rsidRPr="001F72A1">
        <w:rPr>
          <w:rFonts w:ascii="Arial" w:hAnsi="Arial" w:cs="Arial"/>
          <w:sz w:val="18"/>
          <w:szCs w:val="18"/>
        </w:rPr>
        <w:t xml:space="preserve">m, due to the potential for erythema resulting from interaction between ultraviolet light and </w:t>
      </w:r>
      <w:proofErr w:type="spellStart"/>
      <w:r w:rsidRPr="001F72A1">
        <w:rPr>
          <w:rFonts w:ascii="Arial" w:hAnsi="Arial" w:cs="Arial"/>
          <w:sz w:val="18"/>
          <w:szCs w:val="18"/>
        </w:rPr>
        <w:t>amotosalen</w:t>
      </w:r>
      <w:proofErr w:type="spellEnd"/>
      <w:r w:rsidRPr="001F72A1">
        <w:rPr>
          <w:rFonts w:ascii="Arial" w:hAnsi="Arial" w:cs="Arial"/>
          <w:sz w:val="18"/>
          <w:szCs w:val="18"/>
        </w:rPr>
        <w:t>.</w:t>
      </w:r>
    </w:p>
    <w:p w14:paraId="11842BF6" w14:textId="5062B0CD" w:rsidR="009F027E" w:rsidRDefault="009F027E" w:rsidP="009F027E">
      <w:pPr>
        <w:autoSpaceDE w:val="0"/>
        <w:autoSpaceDN w:val="0"/>
        <w:adjustRightInd w:val="0"/>
        <w:spacing w:after="0" w:line="240" w:lineRule="auto"/>
        <w:ind w:right="5696"/>
        <w:jc w:val="both"/>
        <w:rPr>
          <w:rFonts w:ascii="Arial" w:hAnsi="Arial" w:cs="Arial"/>
          <w:sz w:val="18"/>
          <w:szCs w:val="18"/>
        </w:rPr>
      </w:pPr>
    </w:p>
    <w:p w14:paraId="416F3F01" w14:textId="77777777" w:rsidR="009F027E" w:rsidRDefault="009F027E" w:rsidP="00BD7ADE">
      <w:pPr>
        <w:autoSpaceDE w:val="0"/>
        <w:autoSpaceDN w:val="0"/>
        <w:adjustRightInd w:val="0"/>
        <w:spacing w:after="0" w:line="240" w:lineRule="auto"/>
        <w:ind w:left="15" w:right="5696"/>
        <w:jc w:val="both"/>
        <w:rPr>
          <w:rFonts w:ascii="Arial" w:hAnsi="Arial" w:cs="Arial"/>
          <w:sz w:val="18"/>
          <w:szCs w:val="18"/>
        </w:rPr>
      </w:pPr>
    </w:p>
    <w:p w14:paraId="721E1943" w14:textId="1697323E" w:rsidR="00BD7ADE" w:rsidRPr="001F72A1" w:rsidRDefault="00BD7ADE" w:rsidP="00BD7ADE">
      <w:pPr>
        <w:autoSpaceDE w:val="0"/>
        <w:autoSpaceDN w:val="0"/>
        <w:adjustRightInd w:val="0"/>
        <w:spacing w:after="0" w:line="240" w:lineRule="auto"/>
        <w:ind w:left="15" w:right="5696"/>
        <w:jc w:val="both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WARNINGS AND PRECAUTIONS</w:t>
      </w:r>
    </w:p>
    <w:p w14:paraId="2276841D" w14:textId="19E22749" w:rsidR="00BD7ADE" w:rsidRPr="0063590B" w:rsidRDefault="00633803" w:rsidP="00BD7ADE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 xml:space="preserve">Only INTERCEPT Processing Sets for platelets are approved for use with the INTERCEPT Blood System. Use only the INTERCEPT INT100 Illuminator for UVA illumination of </w:t>
      </w:r>
      <w:proofErr w:type="spellStart"/>
      <w:r w:rsidRPr="001F72A1">
        <w:rPr>
          <w:rFonts w:ascii="Arial" w:hAnsi="Arial" w:cs="Arial"/>
          <w:sz w:val="18"/>
          <w:szCs w:val="18"/>
        </w:rPr>
        <w:t>amotosalen</w:t>
      </w:r>
      <w:proofErr w:type="spellEnd"/>
      <w:r w:rsidRPr="001F72A1">
        <w:rPr>
          <w:rFonts w:ascii="Arial" w:hAnsi="Arial" w:cs="Arial"/>
          <w:sz w:val="18"/>
          <w:szCs w:val="18"/>
        </w:rPr>
        <w:t xml:space="preserve">-treated platelet components. No other source of UVA light may be used. </w:t>
      </w:r>
      <w:r w:rsidR="001F72A1" w:rsidRPr="001F72A1">
        <w:rPr>
          <w:rFonts w:ascii="Arial" w:hAnsi="Arial" w:cs="Arial"/>
          <w:sz w:val="18"/>
          <w:szCs w:val="18"/>
        </w:rPr>
        <w:t xml:space="preserve">Please refer to the Operator’s Manual for the INT100 Illuminator. Discard any platelet components not exposed to the complete INT100 illumination process. </w:t>
      </w:r>
      <w:r w:rsidRPr="001F72A1">
        <w:rPr>
          <w:rFonts w:ascii="Arial" w:hAnsi="Arial" w:cs="Arial"/>
          <w:sz w:val="18"/>
          <w:szCs w:val="18"/>
        </w:rPr>
        <w:t>Tubing components and container ports of the INTERCEPT Blood System contain polyvinyl chloride (PVC). Di(2-</w:t>
      </w:r>
      <w:proofErr w:type="gramStart"/>
      <w:r w:rsidRPr="001F72A1">
        <w:rPr>
          <w:rFonts w:ascii="Arial" w:hAnsi="Arial" w:cs="Arial"/>
          <w:sz w:val="18"/>
          <w:szCs w:val="18"/>
        </w:rPr>
        <w:t>ethylhexyl)phthalate</w:t>
      </w:r>
      <w:proofErr w:type="gramEnd"/>
      <w:r w:rsidRPr="001F72A1">
        <w:rPr>
          <w:rFonts w:ascii="Arial" w:hAnsi="Arial" w:cs="Arial"/>
          <w:sz w:val="18"/>
          <w:szCs w:val="18"/>
        </w:rPr>
        <w:t xml:space="preserve"> (DEHP) is known to be released from PVC medical devices, and increased leaching can occur with extended storage or increased surface area contact. Blood components will be in contact with PVC for a brief </w:t>
      </w:r>
      <w:proofErr w:type="gramStart"/>
      <w:r w:rsidRPr="001F72A1">
        <w:rPr>
          <w:rFonts w:ascii="Arial" w:hAnsi="Arial" w:cs="Arial"/>
          <w:sz w:val="18"/>
          <w:szCs w:val="18"/>
        </w:rPr>
        <w:t>period of time</w:t>
      </w:r>
      <w:proofErr w:type="gramEnd"/>
      <w:r w:rsidRPr="001F72A1">
        <w:rPr>
          <w:rFonts w:ascii="Arial" w:hAnsi="Arial" w:cs="Arial"/>
          <w:sz w:val="18"/>
          <w:szCs w:val="18"/>
        </w:rPr>
        <w:t xml:space="preserve"> (approx.15 minutes) during processing. The risks associated with DEHP released into the blood components must be weighed against the benefits of therapeutic transfusion</w:t>
      </w:r>
      <w:r w:rsidR="00DA6463" w:rsidRPr="001F72A1">
        <w:rPr>
          <w:rFonts w:ascii="Arial" w:hAnsi="Arial" w:cs="Arial"/>
          <w:sz w:val="18"/>
          <w:szCs w:val="18"/>
        </w:rPr>
        <w:t>.</w:t>
      </w:r>
    </w:p>
    <w:p w14:paraId="37B7204F" w14:textId="77777777" w:rsidR="00BD7ADE" w:rsidRPr="0063590B" w:rsidRDefault="00BD7ADE" w:rsidP="00BD7ADE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Arial" w:hAnsi="Arial" w:cs="Arial"/>
          <w:sz w:val="18"/>
          <w:szCs w:val="18"/>
        </w:rPr>
      </w:pPr>
    </w:p>
    <w:p w14:paraId="075F4407" w14:textId="446E2BD4" w:rsidR="00BD7ADE" w:rsidRPr="0063590B" w:rsidRDefault="00BD7ADE" w:rsidP="00BD7ADE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Arial" w:hAnsi="Arial" w:cs="Arial"/>
          <w:sz w:val="18"/>
          <w:szCs w:val="18"/>
        </w:rPr>
      </w:pPr>
      <w:r w:rsidRPr="0063590B">
        <w:rPr>
          <w:rFonts w:ascii="Arial" w:hAnsi="Arial" w:cs="Arial"/>
          <w:sz w:val="18"/>
          <w:szCs w:val="18"/>
        </w:rPr>
        <w:t xml:space="preserve">Rx only. There is no pathogen reduction process that has been shown to eliminate all pathogens. Certain non-enveloped viruses (e.g., HAV, HEV, B19 and poliovirus) and </w:t>
      </w:r>
      <w:r w:rsidRPr="0063590B">
        <w:rPr>
          <w:rFonts w:ascii="Arial" w:hAnsi="Arial" w:cs="Arial"/>
          <w:i/>
          <w:sz w:val="18"/>
          <w:szCs w:val="18"/>
        </w:rPr>
        <w:t>Bacillus cereus</w:t>
      </w:r>
      <w:r w:rsidRPr="0063590B">
        <w:rPr>
          <w:rFonts w:ascii="Arial" w:hAnsi="Arial" w:cs="Arial"/>
          <w:sz w:val="18"/>
          <w:szCs w:val="18"/>
        </w:rPr>
        <w:t xml:space="preserve"> spores have demonstrated resistance to the </w:t>
      </w:r>
      <w:r w:rsidR="006A1CDE" w:rsidRPr="0063590B">
        <w:rPr>
          <w:rFonts w:ascii="Arial" w:hAnsi="Arial" w:cs="Arial"/>
          <w:sz w:val="18"/>
          <w:szCs w:val="18"/>
        </w:rPr>
        <w:t xml:space="preserve">INTERCEPT </w:t>
      </w:r>
      <w:r w:rsidRPr="0063590B">
        <w:rPr>
          <w:rFonts w:ascii="Arial" w:hAnsi="Arial" w:cs="Arial"/>
          <w:sz w:val="18"/>
          <w:szCs w:val="18"/>
        </w:rPr>
        <w:t>process. See package insert for full prescribing information.</w:t>
      </w:r>
    </w:p>
    <w:p w14:paraId="6CC18566" w14:textId="440C45CA" w:rsidR="00BD7ADE" w:rsidRPr="0063590B" w:rsidRDefault="00BD7ADE" w:rsidP="00BD7ADE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Arial" w:hAnsi="Arial" w:cs="Arial"/>
          <w:sz w:val="18"/>
          <w:szCs w:val="18"/>
        </w:rPr>
      </w:pPr>
    </w:p>
    <w:p w14:paraId="25DE3911" w14:textId="1958ACA4" w:rsidR="003D75DD" w:rsidRPr="001F72A1" w:rsidRDefault="003D75DD" w:rsidP="003D75DD">
      <w:pPr>
        <w:pStyle w:val="Default"/>
        <w:rPr>
          <w:rFonts w:ascii="Arial" w:hAnsi="Arial" w:cs="Arial"/>
          <w:b/>
          <w:color w:val="auto"/>
          <w:sz w:val="20"/>
          <w:szCs w:val="20"/>
          <w:u w:val="single"/>
        </w:rPr>
      </w:pPr>
      <w:r w:rsidRPr="001F72A1">
        <w:rPr>
          <w:rFonts w:ascii="Arial" w:hAnsi="Arial" w:cs="Arial"/>
          <w:b/>
          <w:color w:val="auto"/>
          <w:sz w:val="20"/>
          <w:szCs w:val="20"/>
          <w:u w:val="single"/>
        </w:rPr>
        <w:t>REFERENCES</w:t>
      </w:r>
    </w:p>
    <w:p w14:paraId="5727977C" w14:textId="6A10C084" w:rsidR="00BD7ADE" w:rsidRPr="001F72A1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fldChar w:fldCharType="begin"/>
      </w:r>
      <w:r w:rsidRPr="001F72A1">
        <w:rPr>
          <w:rFonts w:ascii="Arial" w:hAnsi="Arial" w:cs="Arial"/>
          <w:sz w:val="18"/>
          <w:szCs w:val="18"/>
        </w:rPr>
        <w:instrText xml:space="preserve"> ADDIN EN.REFLIST </w:instrText>
      </w:r>
      <w:r w:rsidRPr="001F72A1">
        <w:rPr>
          <w:rFonts w:ascii="Arial" w:hAnsi="Arial" w:cs="Arial"/>
          <w:sz w:val="18"/>
          <w:szCs w:val="18"/>
        </w:rPr>
        <w:fldChar w:fldCharType="separate"/>
      </w:r>
      <w:r w:rsidRPr="001F72A1">
        <w:rPr>
          <w:rFonts w:ascii="Arial" w:hAnsi="Arial" w:cs="Arial"/>
          <w:sz w:val="18"/>
          <w:szCs w:val="18"/>
        </w:rPr>
        <w:t>1.</w:t>
      </w:r>
      <w:r w:rsidRPr="001F72A1">
        <w:rPr>
          <w:rFonts w:ascii="Arial" w:hAnsi="Arial" w:cs="Arial"/>
          <w:sz w:val="18"/>
          <w:szCs w:val="18"/>
        </w:rPr>
        <w:tab/>
        <w:t>FDA. Bacterial Risk Control Strategies for Blood Collection Establishments and Transfusion Services to Enhance the Safety and Availability of Platelets for Transfusion: Guidance for Industry.  (ed. CBER) (US Food and Drug</w:t>
      </w:r>
      <w:r w:rsidR="00DA6463" w:rsidRPr="001F72A1">
        <w:rPr>
          <w:rFonts w:ascii="Arial" w:hAnsi="Arial" w:cs="Arial"/>
          <w:sz w:val="18"/>
          <w:szCs w:val="18"/>
        </w:rPr>
        <w:t xml:space="preserve"> </w:t>
      </w:r>
      <w:r w:rsidRPr="001F72A1">
        <w:rPr>
          <w:rFonts w:ascii="Arial" w:hAnsi="Arial" w:cs="Arial"/>
          <w:sz w:val="18"/>
          <w:szCs w:val="18"/>
        </w:rPr>
        <w:t>Administration, Silver Spring, MD, 20</w:t>
      </w:r>
      <w:r w:rsidR="00DA6463" w:rsidRPr="001F72A1">
        <w:rPr>
          <w:rFonts w:ascii="Arial" w:hAnsi="Arial" w:cs="Arial"/>
          <w:sz w:val="18"/>
          <w:szCs w:val="18"/>
        </w:rPr>
        <w:t>20</w:t>
      </w:r>
      <w:r w:rsidRPr="001F72A1">
        <w:rPr>
          <w:rFonts w:ascii="Arial" w:hAnsi="Arial" w:cs="Arial"/>
          <w:sz w:val="18"/>
          <w:szCs w:val="18"/>
        </w:rPr>
        <w:t>).</w:t>
      </w:r>
    </w:p>
    <w:p w14:paraId="24EB4C96" w14:textId="77777777" w:rsidR="00BD7ADE" w:rsidRPr="001F72A1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2.</w:t>
      </w:r>
      <w:r w:rsidRPr="001F72A1">
        <w:rPr>
          <w:rFonts w:ascii="Arial" w:hAnsi="Arial" w:cs="Arial"/>
          <w:sz w:val="18"/>
          <w:szCs w:val="18"/>
        </w:rPr>
        <w:tab/>
        <w:t xml:space="preserve">Howard, C. &amp; Fletcher, N. Emerging virus diseases: can we ever expect the unexpected? </w:t>
      </w:r>
      <w:r w:rsidRPr="001F72A1">
        <w:rPr>
          <w:rFonts w:ascii="Arial" w:hAnsi="Arial" w:cs="Arial"/>
          <w:i/>
          <w:sz w:val="18"/>
          <w:szCs w:val="18"/>
        </w:rPr>
        <w:t>Emerging Microbes and Infections</w:t>
      </w:r>
      <w:r w:rsidRPr="001F72A1">
        <w:rPr>
          <w:rFonts w:ascii="Arial" w:hAnsi="Arial" w:cs="Arial"/>
          <w:sz w:val="18"/>
          <w:szCs w:val="18"/>
        </w:rPr>
        <w:t xml:space="preserve"> </w:t>
      </w:r>
      <w:r w:rsidRPr="001F72A1">
        <w:rPr>
          <w:rFonts w:ascii="Arial" w:hAnsi="Arial" w:cs="Arial"/>
          <w:b/>
          <w:sz w:val="18"/>
          <w:szCs w:val="18"/>
        </w:rPr>
        <w:t>1</w:t>
      </w:r>
      <w:r w:rsidRPr="001F72A1">
        <w:rPr>
          <w:rFonts w:ascii="Arial" w:hAnsi="Arial" w:cs="Arial"/>
          <w:sz w:val="18"/>
          <w:szCs w:val="18"/>
        </w:rPr>
        <w:t>(2012).</w:t>
      </w:r>
    </w:p>
    <w:p w14:paraId="71E5D67A" w14:textId="77777777" w:rsidR="00BD7ADE" w:rsidRPr="001F72A1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3.</w:t>
      </w:r>
      <w:r w:rsidRPr="001F72A1">
        <w:rPr>
          <w:rFonts w:ascii="Arial" w:hAnsi="Arial" w:cs="Arial"/>
          <w:sz w:val="18"/>
          <w:szCs w:val="18"/>
        </w:rPr>
        <w:tab/>
        <w:t>Diuk-Wasser, M. Mosquito-borne Diseases on the Uptick—Thanks to Global Warming.  (Scientific American, A Division of Nature America, 2013).</w:t>
      </w:r>
    </w:p>
    <w:p w14:paraId="19620B2C" w14:textId="77777777" w:rsidR="00BD7ADE" w:rsidRPr="001F72A1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4.</w:t>
      </w:r>
      <w:r w:rsidRPr="001F72A1">
        <w:rPr>
          <w:rFonts w:ascii="Arial" w:hAnsi="Arial" w:cs="Arial"/>
          <w:sz w:val="18"/>
          <w:szCs w:val="18"/>
        </w:rPr>
        <w:tab/>
        <w:t>Hong, H.</w:t>
      </w:r>
      <w:r w:rsidRPr="001F72A1">
        <w:rPr>
          <w:rFonts w:ascii="Arial" w:hAnsi="Arial" w:cs="Arial"/>
          <w:i/>
          <w:sz w:val="18"/>
          <w:szCs w:val="18"/>
        </w:rPr>
        <w:t>, et al.</w:t>
      </w:r>
      <w:r w:rsidRPr="001F72A1">
        <w:rPr>
          <w:rFonts w:ascii="Arial" w:hAnsi="Arial" w:cs="Arial"/>
          <w:sz w:val="18"/>
          <w:szCs w:val="18"/>
        </w:rPr>
        <w:t xml:space="preserve"> Detection of septic transfusion reactions to platelet transfusions by active and passive surveillance. </w:t>
      </w:r>
      <w:r w:rsidRPr="001F72A1">
        <w:rPr>
          <w:rFonts w:ascii="Arial" w:hAnsi="Arial" w:cs="Arial"/>
          <w:i/>
          <w:sz w:val="18"/>
          <w:szCs w:val="18"/>
        </w:rPr>
        <w:t>Blood</w:t>
      </w:r>
      <w:r w:rsidRPr="001F72A1">
        <w:rPr>
          <w:rFonts w:ascii="Arial" w:hAnsi="Arial" w:cs="Arial"/>
          <w:sz w:val="18"/>
          <w:szCs w:val="18"/>
        </w:rPr>
        <w:t xml:space="preserve"> </w:t>
      </w:r>
      <w:r w:rsidRPr="001F72A1">
        <w:rPr>
          <w:rFonts w:ascii="Arial" w:hAnsi="Arial" w:cs="Arial"/>
          <w:b/>
          <w:sz w:val="18"/>
          <w:szCs w:val="18"/>
        </w:rPr>
        <w:t>127</w:t>
      </w:r>
      <w:r w:rsidRPr="001F72A1">
        <w:rPr>
          <w:rFonts w:ascii="Arial" w:hAnsi="Arial" w:cs="Arial"/>
          <w:sz w:val="18"/>
          <w:szCs w:val="18"/>
        </w:rPr>
        <w:t>, 496-502 (2016).</w:t>
      </w:r>
    </w:p>
    <w:p w14:paraId="61534C68" w14:textId="77777777" w:rsidR="00BD7ADE" w:rsidRPr="001F72A1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5.</w:t>
      </w:r>
      <w:r w:rsidRPr="001F72A1">
        <w:rPr>
          <w:rFonts w:ascii="Arial" w:hAnsi="Arial" w:cs="Arial"/>
          <w:sz w:val="18"/>
          <w:szCs w:val="18"/>
        </w:rPr>
        <w:tab/>
        <w:t xml:space="preserve">Benjamin, R.J., Braschler, T., Weingand, T. &amp; Corash, L.M. Hemovigilance monitoring of platelet septic reactions with effective bacterial protection systems. </w:t>
      </w:r>
      <w:r w:rsidRPr="001F72A1">
        <w:rPr>
          <w:rFonts w:ascii="Arial" w:hAnsi="Arial" w:cs="Arial"/>
          <w:i/>
          <w:sz w:val="18"/>
          <w:szCs w:val="18"/>
        </w:rPr>
        <w:t>Transfusion</w:t>
      </w:r>
      <w:r w:rsidRPr="001F72A1">
        <w:rPr>
          <w:rFonts w:ascii="Arial" w:hAnsi="Arial" w:cs="Arial"/>
          <w:sz w:val="18"/>
          <w:szCs w:val="18"/>
        </w:rPr>
        <w:t xml:space="preserve"> </w:t>
      </w:r>
      <w:r w:rsidRPr="001F72A1">
        <w:rPr>
          <w:rFonts w:ascii="Arial" w:hAnsi="Arial" w:cs="Arial"/>
          <w:b/>
          <w:sz w:val="18"/>
          <w:szCs w:val="18"/>
        </w:rPr>
        <w:t>57</w:t>
      </w:r>
      <w:r w:rsidRPr="001F72A1">
        <w:rPr>
          <w:rFonts w:ascii="Arial" w:hAnsi="Arial" w:cs="Arial"/>
          <w:sz w:val="18"/>
          <w:szCs w:val="18"/>
        </w:rPr>
        <w:t>, 2946-2957 (2017).</w:t>
      </w:r>
    </w:p>
    <w:p w14:paraId="53A71F2D" w14:textId="271353B2" w:rsidR="00BD7ADE" w:rsidRPr="001F72A1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6.</w:t>
      </w:r>
      <w:r w:rsidRPr="001F72A1">
        <w:rPr>
          <w:rFonts w:ascii="Arial" w:hAnsi="Arial" w:cs="Arial"/>
          <w:sz w:val="18"/>
          <w:szCs w:val="18"/>
        </w:rPr>
        <w:tab/>
        <w:t xml:space="preserve">INTERCEPT Blood System for Platelets [Package Insert].  (Cerus Corporation, Concord, CA, </w:t>
      </w:r>
      <w:r w:rsidR="00643760">
        <w:rPr>
          <w:rFonts w:ascii="Arial" w:hAnsi="Arial" w:cs="Arial"/>
          <w:sz w:val="18"/>
          <w:szCs w:val="18"/>
        </w:rPr>
        <w:t>December 19,2023</w:t>
      </w:r>
      <w:r w:rsidRPr="001F72A1">
        <w:rPr>
          <w:rFonts w:ascii="Arial" w:hAnsi="Arial" w:cs="Arial"/>
          <w:sz w:val="18"/>
          <w:szCs w:val="18"/>
        </w:rPr>
        <w:t>).</w:t>
      </w:r>
    </w:p>
    <w:p w14:paraId="7A0415C7" w14:textId="25CE094D" w:rsidR="00643760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7.</w:t>
      </w:r>
      <w:r w:rsidRPr="001F72A1">
        <w:rPr>
          <w:rFonts w:ascii="Arial" w:hAnsi="Arial" w:cs="Arial"/>
          <w:sz w:val="18"/>
          <w:szCs w:val="18"/>
        </w:rPr>
        <w:tab/>
        <w:t xml:space="preserve">FDA. Recommendations for Reducing the Risk of Transfusion-Transmitted Babesiosis: Guidance for Industry.  </w:t>
      </w:r>
      <w:r w:rsidR="00643760" w:rsidRPr="00643760">
        <w:rPr>
          <w:rFonts w:ascii="Arial" w:hAnsi="Arial" w:cs="Arial"/>
          <w:sz w:val="18"/>
          <w:szCs w:val="18"/>
        </w:rPr>
        <w:t>In: U.S. Department of Health and Human Services FDA, ed. Silver Spring, MD: Center for Biologics Evaluation and Research; 2019</w:t>
      </w:r>
      <w:r w:rsidR="00643760">
        <w:rPr>
          <w:rFonts w:ascii="Arial" w:hAnsi="Arial" w:cs="Arial"/>
          <w:sz w:val="18"/>
          <w:szCs w:val="18"/>
        </w:rPr>
        <w:t xml:space="preserve">. </w:t>
      </w:r>
    </w:p>
    <w:p w14:paraId="0BFC052E" w14:textId="5FE1CF89" w:rsidR="00BD7ADE" w:rsidRPr="001F72A1" w:rsidRDefault="00643760" w:rsidP="001406E9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8. </w:t>
      </w:r>
      <w:r>
        <w:rPr>
          <w:rFonts w:ascii="Arial" w:hAnsi="Arial" w:cs="Arial"/>
          <w:sz w:val="18"/>
          <w:szCs w:val="18"/>
        </w:rPr>
        <w:tab/>
      </w:r>
      <w:r w:rsidRPr="00643760">
        <w:rPr>
          <w:rFonts w:ascii="Arial" w:hAnsi="Arial" w:cs="Arial"/>
          <w:sz w:val="18"/>
          <w:szCs w:val="18"/>
        </w:rPr>
        <w:t>FDA. Recommendations</w:t>
      </w:r>
      <w:r>
        <w:rPr>
          <w:rFonts w:ascii="Arial" w:hAnsi="Arial" w:cs="Arial"/>
          <w:sz w:val="18"/>
          <w:szCs w:val="18"/>
        </w:rPr>
        <w:t xml:space="preserve"> for Reducing</w:t>
      </w:r>
      <w:r w:rsidRPr="00643760">
        <w:rPr>
          <w:rFonts w:ascii="Arial" w:hAnsi="Arial" w:cs="Arial"/>
          <w:sz w:val="18"/>
          <w:szCs w:val="18"/>
        </w:rPr>
        <w:t xml:space="preserve"> the Risk of Transfusion-Transmitted Malaria: Guidance for Industry. In: U.S. Department of Health and Human Services FDA, ed. Silver Spring, MD: Center for Biologics Evaluation and Research; 2022</w:t>
      </w:r>
      <w:r>
        <w:rPr>
          <w:rFonts w:ascii="Arial" w:hAnsi="Arial" w:cs="Arial"/>
          <w:sz w:val="18"/>
          <w:szCs w:val="18"/>
        </w:rPr>
        <w:t>.</w:t>
      </w:r>
    </w:p>
    <w:p w14:paraId="5E5F72A0" w14:textId="70949719" w:rsidR="00BD7ADE" w:rsidRPr="001F72A1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9.</w:t>
      </w:r>
      <w:r w:rsidRPr="001F72A1">
        <w:rPr>
          <w:rFonts w:ascii="Arial" w:hAnsi="Arial" w:cs="Arial"/>
          <w:sz w:val="18"/>
          <w:szCs w:val="18"/>
        </w:rPr>
        <w:tab/>
        <w:t xml:space="preserve">AABB. Standards for Blood Banks and Transfusion Services </w:t>
      </w:r>
      <w:r w:rsidR="00643760" w:rsidRPr="001F72A1">
        <w:rPr>
          <w:rFonts w:ascii="Arial" w:hAnsi="Arial" w:cs="Arial"/>
          <w:sz w:val="18"/>
          <w:szCs w:val="18"/>
        </w:rPr>
        <w:t>3</w:t>
      </w:r>
      <w:r w:rsidR="00643760">
        <w:rPr>
          <w:rFonts w:ascii="Arial" w:hAnsi="Arial" w:cs="Arial"/>
          <w:sz w:val="18"/>
          <w:szCs w:val="18"/>
        </w:rPr>
        <w:t>4</w:t>
      </w:r>
      <w:r w:rsidR="00643760" w:rsidRPr="001406E9">
        <w:rPr>
          <w:rFonts w:ascii="Arial" w:hAnsi="Arial" w:cs="Arial"/>
          <w:sz w:val="18"/>
          <w:szCs w:val="18"/>
          <w:vertAlign w:val="superscript"/>
        </w:rPr>
        <w:t>th</w:t>
      </w:r>
      <w:r w:rsidR="00643760">
        <w:rPr>
          <w:rFonts w:ascii="Arial" w:hAnsi="Arial" w:cs="Arial"/>
          <w:sz w:val="18"/>
          <w:szCs w:val="18"/>
        </w:rPr>
        <w:t xml:space="preserve"> </w:t>
      </w:r>
      <w:r w:rsidRPr="001F72A1">
        <w:rPr>
          <w:rFonts w:ascii="Arial" w:hAnsi="Arial" w:cs="Arial"/>
          <w:sz w:val="18"/>
          <w:szCs w:val="18"/>
        </w:rPr>
        <w:t xml:space="preserve">Edition.  (AABB, Bethesda, MD, </w:t>
      </w:r>
      <w:r w:rsidR="00643760" w:rsidRPr="001F72A1">
        <w:rPr>
          <w:rFonts w:ascii="Arial" w:hAnsi="Arial" w:cs="Arial"/>
          <w:sz w:val="18"/>
          <w:szCs w:val="18"/>
        </w:rPr>
        <w:t>202</w:t>
      </w:r>
      <w:r w:rsidR="00643760">
        <w:rPr>
          <w:rFonts w:ascii="Arial" w:hAnsi="Arial" w:cs="Arial"/>
          <w:sz w:val="18"/>
          <w:szCs w:val="18"/>
        </w:rPr>
        <w:t>4</w:t>
      </w:r>
      <w:r w:rsidRPr="001F72A1">
        <w:rPr>
          <w:rFonts w:ascii="Arial" w:hAnsi="Arial" w:cs="Arial"/>
          <w:sz w:val="18"/>
          <w:szCs w:val="18"/>
        </w:rPr>
        <w:t>).</w:t>
      </w:r>
    </w:p>
    <w:p w14:paraId="0EBD57D1" w14:textId="2D085F05" w:rsidR="00BD7ADE" w:rsidRPr="001F72A1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10.</w:t>
      </w:r>
      <w:r w:rsidRPr="001F72A1">
        <w:rPr>
          <w:rFonts w:ascii="Arial" w:hAnsi="Arial" w:cs="Arial"/>
          <w:sz w:val="18"/>
          <w:szCs w:val="18"/>
        </w:rPr>
        <w:tab/>
        <w:t>French National Agency for Medicine and Health Product Safety/ANSM. Hemovigilance Activity Reports.  (2009-</w:t>
      </w:r>
      <w:r w:rsidR="001406E9">
        <w:rPr>
          <w:rFonts w:ascii="Arial" w:hAnsi="Arial" w:cs="Arial"/>
          <w:sz w:val="18"/>
          <w:szCs w:val="18"/>
        </w:rPr>
        <w:t>2022</w:t>
      </w:r>
      <w:r w:rsidRPr="001F72A1">
        <w:rPr>
          <w:rFonts w:ascii="Arial" w:hAnsi="Arial" w:cs="Arial"/>
          <w:sz w:val="18"/>
          <w:szCs w:val="18"/>
        </w:rPr>
        <w:t>).</w:t>
      </w:r>
    </w:p>
    <w:p w14:paraId="10DEB1CA" w14:textId="5E59B324" w:rsidR="00BD7ADE" w:rsidRPr="001F72A1" w:rsidRDefault="00BD7ADE" w:rsidP="00BD7ADE">
      <w:pPr>
        <w:pStyle w:val="EndNoteBibliography"/>
        <w:spacing w:after="0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11.</w:t>
      </w:r>
      <w:r w:rsidRPr="001F72A1">
        <w:rPr>
          <w:rFonts w:ascii="Arial" w:hAnsi="Arial" w:cs="Arial"/>
          <w:sz w:val="18"/>
          <w:szCs w:val="18"/>
        </w:rPr>
        <w:tab/>
        <w:t>Swissmedic. Haemovigilance Annual Report.  (Swissmedic, Bern, Switzerland, 2005-</w:t>
      </w:r>
      <w:r w:rsidR="001406E9">
        <w:rPr>
          <w:rFonts w:ascii="Arial" w:hAnsi="Arial" w:cs="Arial"/>
          <w:sz w:val="18"/>
          <w:szCs w:val="18"/>
        </w:rPr>
        <w:t>2022</w:t>
      </w:r>
      <w:r w:rsidRPr="001F72A1">
        <w:rPr>
          <w:rFonts w:ascii="Arial" w:hAnsi="Arial" w:cs="Arial"/>
          <w:sz w:val="18"/>
          <w:szCs w:val="18"/>
        </w:rPr>
        <w:t>).</w:t>
      </w:r>
    </w:p>
    <w:p w14:paraId="4A574316" w14:textId="15360A1C" w:rsidR="00BD7ADE" w:rsidRPr="001F72A1" w:rsidRDefault="00BD7ADE" w:rsidP="00BD7ADE">
      <w:pPr>
        <w:pStyle w:val="EndNoteBibliography"/>
        <w:ind w:left="720" w:hanging="720"/>
        <w:rPr>
          <w:rFonts w:ascii="Arial" w:hAnsi="Arial" w:cs="Arial"/>
          <w:sz w:val="18"/>
          <w:szCs w:val="18"/>
        </w:rPr>
      </w:pPr>
      <w:r w:rsidRPr="001F72A1">
        <w:rPr>
          <w:rFonts w:ascii="Arial" w:hAnsi="Arial" w:cs="Arial"/>
          <w:sz w:val="18"/>
          <w:szCs w:val="18"/>
        </w:rPr>
        <w:t>12.</w:t>
      </w:r>
      <w:r w:rsidRPr="001F72A1">
        <w:rPr>
          <w:rFonts w:ascii="Arial" w:hAnsi="Arial" w:cs="Arial"/>
          <w:sz w:val="18"/>
          <w:szCs w:val="18"/>
        </w:rPr>
        <w:tab/>
        <w:t xml:space="preserve">AFMPS Hémovigilance Rapport annuel: Belgium. </w:t>
      </w:r>
      <w:r w:rsidR="00643760">
        <w:rPr>
          <w:rFonts w:ascii="Arial" w:hAnsi="Arial" w:cs="Arial"/>
          <w:sz w:val="18"/>
          <w:szCs w:val="18"/>
        </w:rPr>
        <w:t>2016-2018.</w:t>
      </w:r>
    </w:p>
    <w:p w14:paraId="10B57F62" w14:textId="78CE322B" w:rsidR="00BD7ADE" w:rsidRPr="0066261A" w:rsidRDefault="00BD7ADE" w:rsidP="0066261A">
      <w:pPr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" w:hAnsi="Arial" w:cs="Arial"/>
          <w:sz w:val="12"/>
          <w:szCs w:val="12"/>
        </w:rPr>
      </w:pPr>
      <w:r w:rsidRPr="001F72A1">
        <w:rPr>
          <w:rFonts w:ascii="Arial" w:hAnsi="Arial" w:cs="Arial"/>
          <w:sz w:val="18"/>
          <w:szCs w:val="18"/>
        </w:rPr>
        <w:fldChar w:fldCharType="end"/>
      </w:r>
      <w:r w:rsidR="0066261A" w:rsidRPr="001F72A1">
        <w:rPr>
          <w:color w:val="808080" w:themeColor="background1" w:themeShade="80"/>
          <w:sz w:val="12"/>
          <w:szCs w:val="12"/>
        </w:rPr>
        <w:t xml:space="preserve"> </w:t>
      </w:r>
      <w:r w:rsidR="0066261A" w:rsidRPr="001F72A1">
        <w:rPr>
          <w:rFonts w:ascii="Arial" w:hAnsi="Arial" w:cs="Arial"/>
          <w:color w:val="808080" w:themeColor="background1" w:themeShade="80"/>
          <w:sz w:val="12"/>
          <w:szCs w:val="12"/>
        </w:rPr>
        <w:t>MKT-EN 00422-0</w:t>
      </w:r>
      <w:r w:rsidR="00FD6CB3" w:rsidRPr="001F72A1">
        <w:rPr>
          <w:rFonts w:ascii="Arial" w:hAnsi="Arial" w:cs="Arial"/>
          <w:color w:val="808080" w:themeColor="background1" w:themeShade="80"/>
          <w:sz w:val="12"/>
          <w:szCs w:val="12"/>
        </w:rPr>
        <w:t xml:space="preserve">7 </w:t>
      </w:r>
      <w:r w:rsidR="00643760" w:rsidRPr="001F72A1">
        <w:rPr>
          <w:rFonts w:ascii="Arial" w:hAnsi="Arial" w:cs="Arial"/>
          <w:color w:val="808080" w:themeColor="background1" w:themeShade="80"/>
          <w:sz w:val="12"/>
          <w:szCs w:val="12"/>
        </w:rPr>
        <w:t>v</w:t>
      </w:r>
      <w:r w:rsidR="00643760">
        <w:rPr>
          <w:rFonts w:ascii="Arial" w:hAnsi="Arial" w:cs="Arial"/>
          <w:color w:val="808080" w:themeColor="background1" w:themeShade="80"/>
          <w:sz w:val="12"/>
          <w:szCs w:val="12"/>
        </w:rPr>
        <w:t>3</w:t>
      </w:r>
      <w:r w:rsidR="00633803" w:rsidRPr="001F72A1">
        <w:rPr>
          <w:rFonts w:ascii="Arial" w:hAnsi="Arial" w:cs="Arial"/>
          <w:color w:val="808080" w:themeColor="background1" w:themeShade="80"/>
          <w:sz w:val="12"/>
          <w:szCs w:val="12"/>
        </w:rPr>
        <w:t>.</w:t>
      </w:r>
      <w:r w:rsidR="00FD6CB3" w:rsidRPr="001F72A1">
        <w:rPr>
          <w:rFonts w:ascii="Arial" w:hAnsi="Arial" w:cs="Arial"/>
          <w:color w:val="808080" w:themeColor="background1" w:themeShade="80"/>
          <w:sz w:val="12"/>
          <w:szCs w:val="12"/>
        </w:rPr>
        <w:t>0</w:t>
      </w:r>
    </w:p>
    <w:p w14:paraId="6DA9901D" w14:textId="397D0178" w:rsidR="00350C94" w:rsidRPr="0063590B" w:rsidRDefault="00350C94" w:rsidP="006125F0">
      <w:pPr>
        <w:rPr>
          <w:rFonts w:ascii="Arial" w:hAnsi="Arial" w:cs="Arial"/>
        </w:rPr>
      </w:pPr>
    </w:p>
    <w:sectPr w:rsidR="00350C94" w:rsidRPr="0063590B" w:rsidSect="008F0359">
      <w:pgSz w:w="12240" w:h="15840"/>
      <w:pgMar w:top="1440" w:right="1080" w:bottom="1170" w:left="1080" w:header="720" w:footer="5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EB111" w14:textId="77777777" w:rsidR="00D45C7D" w:rsidRDefault="00D45C7D" w:rsidP="005879F0">
      <w:pPr>
        <w:spacing w:after="0" w:line="240" w:lineRule="auto"/>
      </w:pPr>
      <w:r>
        <w:separator/>
      </w:r>
    </w:p>
  </w:endnote>
  <w:endnote w:type="continuationSeparator" w:id="0">
    <w:p w14:paraId="3F14E0FF" w14:textId="77777777" w:rsidR="00D45C7D" w:rsidRDefault="00D45C7D" w:rsidP="00587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Std 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62439" w14:textId="77777777" w:rsidR="00D45C7D" w:rsidRDefault="00D45C7D" w:rsidP="005879F0">
      <w:pPr>
        <w:spacing w:after="0" w:line="240" w:lineRule="auto"/>
      </w:pPr>
      <w:r>
        <w:separator/>
      </w:r>
    </w:p>
  </w:footnote>
  <w:footnote w:type="continuationSeparator" w:id="0">
    <w:p w14:paraId="68C061A2" w14:textId="77777777" w:rsidR="00D45C7D" w:rsidRDefault="00D45C7D" w:rsidP="00587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D54C9"/>
    <w:multiLevelType w:val="hybridMultilevel"/>
    <w:tmpl w:val="B7DE7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41BDA"/>
    <w:multiLevelType w:val="hybridMultilevel"/>
    <w:tmpl w:val="35FE9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93A3A"/>
    <w:multiLevelType w:val="hybridMultilevel"/>
    <w:tmpl w:val="0E52D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1630ED"/>
    <w:multiLevelType w:val="hybridMultilevel"/>
    <w:tmpl w:val="7EC48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15412"/>
    <w:multiLevelType w:val="hybridMultilevel"/>
    <w:tmpl w:val="CA3A8B40"/>
    <w:lvl w:ilvl="0" w:tplc="751E8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932EC"/>
    <w:multiLevelType w:val="hybridMultilevel"/>
    <w:tmpl w:val="F36032D2"/>
    <w:lvl w:ilvl="0" w:tplc="0D3E540E">
      <w:start w:val="1"/>
      <w:numFmt w:val="decimal"/>
      <w:pStyle w:val="Reference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DE6714A"/>
    <w:multiLevelType w:val="hybridMultilevel"/>
    <w:tmpl w:val="995E5A50"/>
    <w:lvl w:ilvl="0" w:tplc="051682C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27693"/>
    <w:multiLevelType w:val="hybridMultilevel"/>
    <w:tmpl w:val="B5DEA0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2CAB36">
      <w:start w:val="1"/>
      <w:numFmt w:val="bullet"/>
      <w:lvlText w:val="o"/>
      <w:lvlJc w:val="left"/>
      <w:pPr>
        <w:ind w:left="79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421C9C"/>
    <w:multiLevelType w:val="hybridMultilevel"/>
    <w:tmpl w:val="98E294FC"/>
    <w:lvl w:ilvl="0" w:tplc="50D219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29428">
    <w:abstractNumId w:val="5"/>
  </w:num>
  <w:num w:numId="2" w16cid:durableId="817646932">
    <w:abstractNumId w:val="2"/>
  </w:num>
  <w:num w:numId="3" w16cid:durableId="2076468043">
    <w:abstractNumId w:val="7"/>
  </w:num>
  <w:num w:numId="4" w16cid:durableId="1990088309">
    <w:abstractNumId w:val="4"/>
  </w:num>
  <w:num w:numId="5" w16cid:durableId="1956013822">
    <w:abstractNumId w:val="3"/>
  </w:num>
  <w:num w:numId="6" w16cid:durableId="433746194">
    <w:abstractNumId w:val="0"/>
  </w:num>
  <w:num w:numId="7" w16cid:durableId="581911217">
    <w:abstractNumId w:val="8"/>
  </w:num>
  <w:num w:numId="8" w16cid:durableId="1563518282">
    <w:abstractNumId w:val="1"/>
  </w:num>
  <w:num w:numId="9" w16cid:durableId="1025599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8A6"/>
    <w:rsid w:val="00005BDB"/>
    <w:rsid w:val="000063DB"/>
    <w:rsid w:val="000616E6"/>
    <w:rsid w:val="000635D8"/>
    <w:rsid w:val="00086761"/>
    <w:rsid w:val="000B6ACA"/>
    <w:rsid w:val="000C0233"/>
    <w:rsid w:val="001406E9"/>
    <w:rsid w:val="001464BD"/>
    <w:rsid w:val="001612A0"/>
    <w:rsid w:val="00190762"/>
    <w:rsid w:val="00194BF2"/>
    <w:rsid w:val="001B0C11"/>
    <w:rsid w:val="001D0E40"/>
    <w:rsid w:val="001E3BDB"/>
    <w:rsid w:val="001F72A1"/>
    <w:rsid w:val="002302B2"/>
    <w:rsid w:val="00253E37"/>
    <w:rsid w:val="0029213D"/>
    <w:rsid w:val="002A2C97"/>
    <w:rsid w:val="002C33D4"/>
    <w:rsid w:val="002E58A6"/>
    <w:rsid w:val="002F10DD"/>
    <w:rsid w:val="003432CD"/>
    <w:rsid w:val="00350C94"/>
    <w:rsid w:val="003835F8"/>
    <w:rsid w:val="003A2E65"/>
    <w:rsid w:val="003A7730"/>
    <w:rsid w:val="003B00EC"/>
    <w:rsid w:val="003B650D"/>
    <w:rsid w:val="003D75DD"/>
    <w:rsid w:val="00415FC3"/>
    <w:rsid w:val="00433889"/>
    <w:rsid w:val="004368CD"/>
    <w:rsid w:val="004624DC"/>
    <w:rsid w:val="00462AAE"/>
    <w:rsid w:val="004833C6"/>
    <w:rsid w:val="00492E1C"/>
    <w:rsid w:val="00496562"/>
    <w:rsid w:val="004E2562"/>
    <w:rsid w:val="00510FA1"/>
    <w:rsid w:val="00565C2F"/>
    <w:rsid w:val="005879F0"/>
    <w:rsid w:val="00593B10"/>
    <w:rsid w:val="005B4610"/>
    <w:rsid w:val="005C7005"/>
    <w:rsid w:val="006035BF"/>
    <w:rsid w:val="006125F0"/>
    <w:rsid w:val="00633803"/>
    <w:rsid w:val="0063590B"/>
    <w:rsid w:val="00643760"/>
    <w:rsid w:val="00654026"/>
    <w:rsid w:val="0066261A"/>
    <w:rsid w:val="00680510"/>
    <w:rsid w:val="00680670"/>
    <w:rsid w:val="006907E2"/>
    <w:rsid w:val="006A1CDE"/>
    <w:rsid w:val="006C3DCA"/>
    <w:rsid w:val="00710955"/>
    <w:rsid w:val="00721920"/>
    <w:rsid w:val="00723997"/>
    <w:rsid w:val="0079042B"/>
    <w:rsid w:val="007A18BB"/>
    <w:rsid w:val="007A24B5"/>
    <w:rsid w:val="007E3BA7"/>
    <w:rsid w:val="007E61F0"/>
    <w:rsid w:val="007F7649"/>
    <w:rsid w:val="008119BD"/>
    <w:rsid w:val="0088731E"/>
    <w:rsid w:val="008C3851"/>
    <w:rsid w:val="008C47D7"/>
    <w:rsid w:val="008F0359"/>
    <w:rsid w:val="00900877"/>
    <w:rsid w:val="00967CF0"/>
    <w:rsid w:val="00981E87"/>
    <w:rsid w:val="009B1A8E"/>
    <w:rsid w:val="009E304E"/>
    <w:rsid w:val="009F027E"/>
    <w:rsid w:val="009F12A9"/>
    <w:rsid w:val="00A06F48"/>
    <w:rsid w:val="00A653A4"/>
    <w:rsid w:val="00A745CC"/>
    <w:rsid w:val="00B048ED"/>
    <w:rsid w:val="00B42CCC"/>
    <w:rsid w:val="00B52A2B"/>
    <w:rsid w:val="00B67624"/>
    <w:rsid w:val="00BD7ADE"/>
    <w:rsid w:val="00BF0176"/>
    <w:rsid w:val="00C41EEB"/>
    <w:rsid w:val="00C644A3"/>
    <w:rsid w:val="00C844AF"/>
    <w:rsid w:val="00C86786"/>
    <w:rsid w:val="00C974BD"/>
    <w:rsid w:val="00D45C7D"/>
    <w:rsid w:val="00DA6463"/>
    <w:rsid w:val="00DB02D3"/>
    <w:rsid w:val="00DD26DB"/>
    <w:rsid w:val="00DF60AF"/>
    <w:rsid w:val="00E0252C"/>
    <w:rsid w:val="00E04C03"/>
    <w:rsid w:val="00E137A8"/>
    <w:rsid w:val="00E22A16"/>
    <w:rsid w:val="00E9167A"/>
    <w:rsid w:val="00E941B5"/>
    <w:rsid w:val="00F1370E"/>
    <w:rsid w:val="00F31179"/>
    <w:rsid w:val="00F41C0C"/>
    <w:rsid w:val="00FD6CB3"/>
    <w:rsid w:val="00FF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856350"/>
  <w15:docId w15:val="{F2F73B11-5382-4231-94D9-70BDBF1A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176"/>
    <w:rPr>
      <w:rFonts w:ascii="Calibri" w:eastAsia="Calibri" w:hAnsi="Calibri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5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9F0"/>
  </w:style>
  <w:style w:type="paragraph" w:styleId="Footer">
    <w:name w:val="footer"/>
    <w:basedOn w:val="Normal"/>
    <w:link w:val="FooterChar"/>
    <w:uiPriority w:val="99"/>
    <w:unhideWhenUsed/>
    <w:rsid w:val="00587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9F0"/>
  </w:style>
  <w:style w:type="paragraph" w:styleId="BalloonText">
    <w:name w:val="Balloon Text"/>
    <w:basedOn w:val="Normal"/>
    <w:link w:val="BalloonTextChar"/>
    <w:uiPriority w:val="99"/>
    <w:semiHidden/>
    <w:unhideWhenUsed/>
    <w:rsid w:val="005879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9F0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B0C11"/>
    <w:pPr>
      <w:spacing w:after="0" w:line="240" w:lineRule="auto"/>
    </w:pPr>
  </w:style>
  <w:style w:type="paragraph" w:customStyle="1" w:styleId="Text">
    <w:name w:val="Text"/>
    <w:basedOn w:val="BodyText"/>
    <w:link w:val="TextChar"/>
    <w:qFormat/>
    <w:rsid w:val="00BF0176"/>
    <w:pPr>
      <w:overflowPunct w:val="0"/>
      <w:autoSpaceDE w:val="0"/>
      <w:autoSpaceDN w:val="0"/>
      <w:adjustRightInd w:val="0"/>
      <w:spacing w:after="200" w:line="300" w:lineRule="auto"/>
      <w:ind w:left="360"/>
      <w:textAlignment w:val="baseline"/>
    </w:pPr>
    <w:rPr>
      <w:rFonts w:ascii="Times New Roman" w:eastAsia="Times New Roman" w:hAnsi="Times New Roman"/>
      <w:bCs/>
      <w:sz w:val="24"/>
      <w:szCs w:val="24"/>
    </w:rPr>
  </w:style>
  <w:style w:type="character" w:customStyle="1" w:styleId="TextChar">
    <w:name w:val="Text Char"/>
    <w:link w:val="Text"/>
    <w:locked/>
    <w:rsid w:val="00BF0176"/>
    <w:rPr>
      <w:rFonts w:ascii="Times New Roman" w:eastAsia="Times New Roman" w:hAnsi="Times New Roman" w:cs="Times New Roman"/>
      <w:bC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F0176"/>
    <w:pPr>
      <w:spacing w:after="0" w:line="240" w:lineRule="auto"/>
      <w:ind w:left="432"/>
    </w:pPr>
  </w:style>
  <w:style w:type="character" w:styleId="Hyperlink">
    <w:name w:val="Hyperlink"/>
    <w:uiPriority w:val="99"/>
    <w:unhideWhenUsed/>
    <w:rsid w:val="00BF0176"/>
    <w:rPr>
      <w:color w:val="0000FF"/>
      <w:u w:val="single"/>
    </w:rPr>
  </w:style>
  <w:style w:type="paragraph" w:customStyle="1" w:styleId="Reference">
    <w:name w:val="Reference"/>
    <w:basedOn w:val="Text"/>
    <w:qFormat/>
    <w:rsid w:val="00BF0176"/>
    <w:pPr>
      <w:numPr>
        <w:numId w:val="1"/>
      </w:numPr>
      <w:tabs>
        <w:tab w:val="num" w:pos="360"/>
      </w:tabs>
      <w:spacing w:line="240" w:lineRule="auto"/>
      <w:ind w:firstLine="0"/>
    </w:pPr>
    <w:rPr>
      <w:rFonts w:ascii="Century Gothic" w:hAnsi="Century Gothic"/>
      <w:sz w:val="22"/>
    </w:rPr>
  </w:style>
  <w:style w:type="paragraph" w:customStyle="1" w:styleId="EndNoteBibliography">
    <w:name w:val="EndNote Bibliography"/>
    <w:basedOn w:val="Normal"/>
    <w:link w:val="EndNoteBibliographyChar"/>
    <w:rsid w:val="00BF0176"/>
    <w:pPr>
      <w:spacing w:line="240" w:lineRule="auto"/>
    </w:pPr>
    <w:rPr>
      <w:rFonts w:ascii="Century Gothic" w:hAnsi="Century Gothic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F0176"/>
    <w:rPr>
      <w:rFonts w:ascii="Century Gothic" w:eastAsia="Calibri" w:hAnsi="Century Gothic" w:cs="Times New Roman"/>
      <w:noProof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BF01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F0176"/>
    <w:rPr>
      <w:rFonts w:ascii="Calibri" w:eastAsia="Calibri" w:hAnsi="Calibri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B65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B65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3B650D"/>
    <w:pPr>
      <w:spacing w:line="240" w:lineRule="auto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table" w:styleId="MediumGrid3-Accent1">
    <w:name w:val="Medium Grid 3 Accent 1"/>
    <w:basedOn w:val="TableNormal"/>
    <w:uiPriority w:val="69"/>
    <w:rsid w:val="003B650D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3B650D"/>
    <w:pPr>
      <w:outlineLvl w:val="9"/>
    </w:pPr>
    <w:rPr>
      <w:lang w:eastAsia="ja-JP"/>
    </w:rPr>
  </w:style>
  <w:style w:type="table" w:styleId="LightShading-Accent1">
    <w:name w:val="Light Shading Accent 1"/>
    <w:basedOn w:val="TableNormal"/>
    <w:uiPriority w:val="60"/>
    <w:rsid w:val="003B650D"/>
    <w:pPr>
      <w:spacing w:after="0" w:line="240" w:lineRule="auto"/>
    </w:pPr>
    <w:rPr>
      <w:rFonts w:asciiTheme="minorHAnsi" w:hAnsiTheme="minorHAnsi" w:cstheme="minorBidi"/>
      <w:color w:val="365F91" w:themeColor="accent1" w:themeShade="BF"/>
      <w:sz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BD7ADE"/>
    <w:pPr>
      <w:autoSpaceDE w:val="0"/>
      <w:autoSpaceDN w:val="0"/>
      <w:adjustRightInd w:val="0"/>
      <w:spacing w:after="0" w:line="240" w:lineRule="auto"/>
    </w:pPr>
    <w:rPr>
      <w:rFonts w:ascii="Futura Std Light" w:hAnsi="Futura Std Light" w:cs="Futura Std Light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D7ADE"/>
    <w:rPr>
      <w:rFonts w:ascii="Calibri" w:eastAsia="Calibri" w:hAnsi="Calibri" w:cs="Times New Roman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41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1E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1EEB"/>
    <w:rPr>
      <w:rFonts w:ascii="Calibri" w:eastAsia="Calibri" w:hAnsi="Calibri" w:cs="Times New Roman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E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EEB"/>
    <w:rPr>
      <w:rFonts w:ascii="Calibri" w:eastAsia="Calibri" w:hAnsi="Calibri" w:cs="Times New Roman"/>
      <w:b/>
      <w:bCs/>
      <w:szCs w:val="20"/>
    </w:rPr>
  </w:style>
  <w:style w:type="paragraph" w:styleId="Revision">
    <w:name w:val="Revision"/>
    <w:hidden/>
    <w:uiPriority w:val="99"/>
    <w:semiHidden/>
    <w:rsid w:val="00C41EEB"/>
    <w:pPr>
      <w:spacing w:after="0" w:line="240" w:lineRule="auto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onrovich\Downloads\Cerus_Letterhead_US_P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FA3ED-620F-4AAF-A13B-A2E2ACAD7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Cerus_Letterhead_US_P1</Template>
  <TotalTime>0</TotalTime>
  <Pages>4</Pages>
  <Words>2550</Words>
  <Characters>14538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Krasner</dc:creator>
  <cp:lastModifiedBy>Seth Donrovich</cp:lastModifiedBy>
  <cp:revision>2</cp:revision>
  <dcterms:created xsi:type="dcterms:W3CDTF">2025-02-04T00:01:00Z</dcterms:created>
  <dcterms:modified xsi:type="dcterms:W3CDTF">2025-02-04T00:01:00Z</dcterms:modified>
</cp:coreProperties>
</file>